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6C27F" w14:textId="77777777" w:rsidR="00F41E76" w:rsidRDefault="00F41E76" w:rsidP="00E556F6">
      <w:pPr>
        <w:pStyle w:val="Heading1"/>
      </w:pPr>
    </w:p>
    <w:p w14:paraId="77B0F54C" w14:textId="0F34DF7A" w:rsidR="005C5D1F" w:rsidRDefault="005C5D1F" w:rsidP="005C5D1F">
      <w:pPr>
        <w:pStyle w:val="Heading1"/>
        <w:ind w:right="220"/>
      </w:pPr>
      <w:r>
        <w:t>Introduction</w:t>
      </w:r>
    </w:p>
    <w:p w14:paraId="1300BCC3" w14:textId="3180A356" w:rsidR="0013573B" w:rsidRDefault="00184BF0" w:rsidP="00FD70FF">
      <w:pPr>
        <w:pStyle w:val="BodyText"/>
        <w:ind w:right="220"/>
        <w:rPr>
          <w:color w:val="000000" w:themeColor="text1"/>
        </w:rPr>
      </w:pPr>
      <w:r>
        <w:rPr>
          <w:color w:val="000000" w:themeColor="text1"/>
        </w:rPr>
        <w:t xml:space="preserve">The Treasury is </w:t>
      </w:r>
      <w:hyperlink r:id="rId8" w:history="1">
        <w:r w:rsidRPr="00184BF0">
          <w:rPr>
            <w:rStyle w:val="Hyperlink"/>
          </w:rPr>
          <w:t>consulting on a new fund structure</w:t>
        </w:r>
      </w:hyperlink>
      <w:r>
        <w:rPr>
          <w:color w:val="000000" w:themeColor="text1"/>
        </w:rPr>
        <w:t xml:space="preserve"> that will provide EIS-like investment incentives </w:t>
      </w:r>
      <w:r w:rsidR="0013573B">
        <w:rPr>
          <w:color w:val="000000" w:themeColor="text1"/>
        </w:rPr>
        <w:t>and</w:t>
      </w:r>
      <w:r>
        <w:rPr>
          <w:color w:val="000000" w:themeColor="text1"/>
        </w:rPr>
        <w:t xml:space="preserve"> allow i</w:t>
      </w:r>
      <w:r w:rsidR="0013573B">
        <w:rPr>
          <w:color w:val="000000" w:themeColor="text1"/>
        </w:rPr>
        <w:t xml:space="preserve">ndividuals </w:t>
      </w:r>
      <w:r>
        <w:rPr>
          <w:color w:val="000000" w:themeColor="text1"/>
        </w:rPr>
        <w:t>to invest in a diversified portfolio. The government intends the fund to be restricted to investing in companies that meet the knowledge-intensive definition (see annex 1) but may permit a small proportion – 10-20% – of the fund to be allocated to non-knowledge intensive companies.</w:t>
      </w:r>
      <w:r w:rsidR="0013573B">
        <w:rPr>
          <w:color w:val="000000" w:themeColor="text1"/>
        </w:rPr>
        <w:t xml:space="preserve"> For further information please read the short </w:t>
      </w:r>
      <w:hyperlink r:id="rId9" w:history="1">
        <w:r w:rsidR="0013573B" w:rsidRPr="0013573B">
          <w:rPr>
            <w:rStyle w:val="Hyperlink"/>
          </w:rPr>
          <w:t>consultation document</w:t>
        </w:r>
      </w:hyperlink>
      <w:r w:rsidR="0013573B">
        <w:rPr>
          <w:color w:val="000000" w:themeColor="text1"/>
        </w:rPr>
        <w:t>.</w:t>
      </w:r>
    </w:p>
    <w:p w14:paraId="6BF3E759" w14:textId="4C809F6A" w:rsidR="0013573B" w:rsidRPr="00B02484" w:rsidRDefault="0013573B" w:rsidP="00FD70FF">
      <w:pPr>
        <w:pStyle w:val="BodyText"/>
        <w:ind w:right="220"/>
        <w:rPr>
          <w:rFonts w:asciiTheme="majorHAnsi" w:eastAsia="Times New Roman" w:hAnsiTheme="majorHAnsi"/>
          <w:bCs/>
          <w:color w:val="008A85" w:themeColor="accent3"/>
          <w:sz w:val="26"/>
          <w:szCs w:val="32"/>
        </w:rPr>
      </w:pPr>
      <w:r w:rsidRPr="00EB7BA2">
        <w:rPr>
          <w:color w:val="000000" w:themeColor="text1"/>
        </w:rPr>
        <w:t>The BIA is responding to the consultation and we are keen that it is informed by your views.</w:t>
      </w:r>
      <w:r w:rsidR="00122911">
        <w:rPr>
          <w:b/>
          <w:color w:val="000000" w:themeColor="text1"/>
        </w:rPr>
        <w:t xml:space="preserve"> </w:t>
      </w:r>
      <w:r w:rsidR="00122911" w:rsidRPr="00EB7BA2">
        <w:rPr>
          <w:b/>
          <w:color w:val="000000" w:themeColor="text1"/>
        </w:rPr>
        <w:t xml:space="preserve">Please use the boxes below to provide your comments and email the completed form to </w:t>
      </w:r>
      <w:hyperlink r:id="rId10" w:history="1">
        <w:r w:rsidR="00122911" w:rsidRPr="00EB7BA2">
          <w:rPr>
            <w:rStyle w:val="Hyperlink"/>
            <w:b/>
          </w:rPr>
          <w:t>mturner@bioindustry.org</w:t>
        </w:r>
      </w:hyperlink>
      <w:r w:rsidR="00EB7BA2" w:rsidRPr="00EB7BA2">
        <w:rPr>
          <w:b/>
          <w:color w:val="000000" w:themeColor="text1"/>
        </w:rPr>
        <w:t xml:space="preserve"> by 20 April</w:t>
      </w:r>
      <w:r w:rsidR="00122911" w:rsidRPr="00EB7BA2">
        <w:rPr>
          <w:b/>
          <w:color w:val="000000" w:themeColor="text1"/>
        </w:rPr>
        <w:t>.</w:t>
      </w:r>
      <w:r w:rsidR="00122911">
        <w:rPr>
          <w:b/>
          <w:color w:val="000000" w:themeColor="text1"/>
        </w:rPr>
        <w:t xml:space="preserve"> </w:t>
      </w:r>
      <w:r w:rsidRPr="00B02484">
        <w:rPr>
          <w:rFonts w:asciiTheme="majorHAnsi" w:eastAsia="Times New Roman" w:hAnsiTheme="majorHAnsi"/>
          <w:bCs/>
          <w:color w:val="008A85" w:themeColor="accent3"/>
          <w:sz w:val="26"/>
          <w:szCs w:val="32"/>
        </w:rPr>
        <w:t xml:space="preserve"> </w:t>
      </w:r>
    </w:p>
    <w:p w14:paraId="7BEA1F8A" w14:textId="24EED190" w:rsidR="0013573B" w:rsidRDefault="0013573B" w:rsidP="0013573B">
      <w:pPr>
        <w:pStyle w:val="Heading1"/>
      </w:pPr>
      <w:r>
        <w:t>Questions</w:t>
      </w:r>
      <w:bookmarkStart w:id="0" w:name="_GoBack"/>
      <w:bookmarkEnd w:id="0"/>
    </w:p>
    <w:p w14:paraId="6FD9C02B" w14:textId="02BFC8C4" w:rsidR="0040160B" w:rsidRPr="0040160B" w:rsidRDefault="0040160B" w:rsidP="0013573B">
      <w:pPr>
        <w:pStyle w:val="BodyText"/>
        <w:rPr>
          <w:b/>
        </w:rPr>
      </w:pPr>
      <w:r>
        <w:rPr>
          <w:b/>
        </w:rPr>
        <w:t xml:space="preserve">Question 1: </w:t>
      </w:r>
      <w:r w:rsidR="005879C9">
        <w:rPr>
          <w:b/>
        </w:rPr>
        <w:t>C</w:t>
      </w:r>
      <w:r>
        <w:rPr>
          <w:b/>
        </w:rPr>
        <w:t>omment on the government’s proposals</w:t>
      </w:r>
    </w:p>
    <w:p w14:paraId="5A9DA102" w14:textId="0C8F7C29" w:rsidR="00B01F57" w:rsidRDefault="0013573B" w:rsidP="0013573B">
      <w:pPr>
        <w:pStyle w:val="BodyText"/>
      </w:pPr>
      <w:r>
        <w:t xml:space="preserve">Please complete the following table to indicate the impact that </w:t>
      </w:r>
      <w:r w:rsidR="00BC0F9E">
        <w:t xml:space="preserve">the </w:t>
      </w:r>
      <w:r>
        <w:t xml:space="preserve">incentives/features </w:t>
      </w:r>
      <w:r w:rsidR="00BC0F9E">
        <w:t xml:space="preserve">(suggested by </w:t>
      </w:r>
      <w:r w:rsidR="005879C9">
        <w:t>HM Treasury</w:t>
      </w:r>
      <w:r w:rsidR="00BC0F9E">
        <w:t xml:space="preserve">) </w:t>
      </w:r>
      <w:r>
        <w:t xml:space="preserve">would have on the proposed fund’s ability </w:t>
      </w:r>
      <w:r w:rsidR="00B01F57">
        <w:t xml:space="preserve">to </w:t>
      </w:r>
      <w:r w:rsidR="006D150E">
        <w:t xml:space="preserve">a) </w:t>
      </w:r>
      <w:r w:rsidR="00B01F57">
        <w:t>attract investors and</w:t>
      </w:r>
      <w:r w:rsidR="006D150E">
        <w:t xml:space="preserve"> b)</w:t>
      </w:r>
      <w:r w:rsidR="00B01F57">
        <w:t xml:space="preserve"> allocate capital to bioscience companies (typically pre-revenue companies in need of long-term investment) – i.e. would the feature make it </w:t>
      </w:r>
      <w:r w:rsidR="005879C9">
        <w:t xml:space="preserve">more or less advantageous </w:t>
      </w:r>
      <w:r w:rsidR="00B01F57">
        <w:t>to invest in bioscience</w:t>
      </w:r>
      <w:r w:rsidR="005879C9">
        <w:t xml:space="preserve"> compared to other sectors</w:t>
      </w:r>
      <w:r w:rsidR="00BC0F9E">
        <w:t>?</w:t>
      </w:r>
      <w:r w:rsidR="00814312">
        <w:t xml:space="preserve"> Note: the government is not proposing for all these incentives to be provided together, it is seeking views on which would be most advantageous.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2"/>
        <w:gridCol w:w="3283"/>
      </w:tblGrid>
      <w:tr w:rsidR="00B01F57" w14:paraId="164F848E" w14:textId="77777777" w:rsidTr="00BC0F9E">
        <w:tc>
          <w:tcPr>
            <w:tcW w:w="3286" w:type="dxa"/>
          </w:tcPr>
          <w:p w14:paraId="1B729263" w14:textId="6C6F924D" w:rsidR="00B01F57" w:rsidRPr="00B01F57" w:rsidRDefault="00B01F57" w:rsidP="0013573B">
            <w:pPr>
              <w:pStyle w:val="BodyText"/>
              <w:rPr>
                <w:b/>
              </w:rPr>
            </w:pPr>
            <w:r>
              <w:rPr>
                <w:b/>
              </w:rPr>
              <w:t>Investment incentive</w:t>
            </w:r>
            <w:r w:rsidR="005879C9">
              <w:rPr>
                <w:b/>
              </w:rPr>
              <w:t>/feature</w:t>
            </w:r>
            <w:r>
              <w:rPr>
                <w:b/>
              </w:rPr>
              <w:t xml:space="preserve"> </w:t>
            </w:r>
          </w:p>
        </w:tc>
        <w:tc>
          <w:tcPr>
            <w:tcW w:w="3286" w:type="dxa"/>
          </w:tcPr>
          <w:p w14:paraId="15669B03" w14:textId="615BA6B2" w:rsidR="00B01F57" w:rsidRPr="00B01F57" w:rsidRDefault="00B01F57" w:rsidP="0013573B">
            <w:pPr>
              <w:pStyle w:val="BodyText"/>
              <w:rPr>
                <w:b/>
              </w:rPr>
            </w:pPr>
            <w:r w:rsidRPr="00B01F57">
              <w:rPr>
                <w:b/>
              </w:rPr>
              <w:t xml:space="preserve">Impact on </w:t>
            </w:r>
            <w:r w:rsidR="005879C9">
              <w:rPr>
                <w:b/>
              </w:rPr>
              <w:t xml:space="preserve">raising an EIS-like fund? </w:t>
            </w:r>
            <w:r w:rsidR="005879C9" w:rsidRPr="005879C9">
              <w:t>Please provide comments.</w:t>
            </w:r>
          </w:p>
        </w:tc>
        <w:tc>
          <w:tcPr>
            <w:tcW w:w="3287" w:type="dxa"/>
          </w:tcPr>
          <w:p w14:paraId="2A7FD056" w14:textId="77777777" w:rsidR="00B01F57" w:rsidRDefault="00B01F57" w:rsidP="0013573B">
            <w:pPr>
              <w:pStyle w:val="BodyText"/>
              <w:rPr>
                <w:b/>
              </w:rPr>
            </w:pPr>
            <w:r w:rsidRPr="00B01F57">
              <w:rPr>
                <w:b/>
              </w:rPr>
              <w:t>Impact on capital allocation to bioscience companies</w:t>
            </w:r>
            <w:r w:rsidR="005879C9">
              <w:rPr>
                <w:b/>
              </w:rPr>
              <w:t>?</w:t>
            </w:r>
            <w:r w:rsidRPr="00B01F57">
              <w:rPr>
                <w:b/>
              </w:rPr>
              <w:t xml:space="preserve"> </w:t>
            </w:r>
          </w:p>
          <w:p w14:paraId="1C557AAA" w14:textId="04682CCB" w:rsidR="005879C9" w:rsidRPr="00B01F57" w:rsidRDefault="005879C9" w:rsidP="0013573B">
            <w:pPr>
              <w:pStyle w:val="BodyText"/>
              <w:rPr>
                <w:b/>
              </w:rPr>
            </w:pPr>
            <w:r w:rsidRPr="005879C9">
              <w:t>Please provide comments.</w:t>
            </w:r>
          </w:p>
        </w:tc>
      </w:tr>
      <w:tr w:rsidR="00B01F57" w14:paraId="4F880DE1" w14:textId="77777777" w:rsidTr="00BC0F9E">
        <w:tc>
          <w:tcPr>
            <w:tcW w:w="3286" w:type="dxa"/>
          </w:tcPr>
          <w:p w14:paraId="039D094A" w14:textId="5E24BB0E" w:rsidR="00B01F57" w:rsidRPr="00B01F57" w:rsidRDefault="00B01F57" w:rsidP="0013573B">
            <w:pPr>
              <w:pStyle w:val="BodyText"/>
            </w:pPr>
            <w:r>
              <w:rPr>
                <w:b/>
              </w:rPr>
              <w:t>Dividend tax exemption</w:t>
            </w:r>
            <w:r>
              <w:t>. This may be applied to dividends for shares held for a defined period, say five to seven years.</w:t>
            </w:r>
          </w:p>
        </w:tc>
        <w:tc>
          <w:tcPr>
            <w:tcW w:w="3286" w:type="dxa"/>
          </w:tcPr>
          <w:p w14:paraId="3A7A1D39" w14:textId="77777777" w:rsidR="00B01F57" w:rsidRDefault="00B01F57" w:rsidP="0013573B">
            <w:pPr>
              <w:pStyle w:val="BodyText"/>
            </w:pPr>
          </w:p>
        </w:tc>
        <w:tc>
          <w:tcPr>
            <w:tcW w:w="3287" w:type="dxa"/>
          </w:tcPr>
          <w:p w14:paraId="79BFD62A" w14:textId="77777777" w:rsidR="00B01F57" w:rsidRDefault="00B01F57" w:rsidP="0013573B">
            <w:pPr>
              <w:pStyle w:val="BodyText"/>
            </w:pPr>
          </w:p>
        </w:tc>
      </w:tr>
      <w:tr w:rsidR="00B01F57" w14:paraId="519CC549" w14:textId="77777777" w:rsidTr="00BC0F9E">
        <w:tc>
          <w:tcPr>
            <w:tcW w:w="3286" w:type="dxa"/>
          </w:tcPr>
          <w:p w14:paraId="31895E0F" w14:textId="097C6A12" w:rsidR="00B01F57" w:rsidRPr="003C0E60" w:rsidRDefault="003C0E60" w:rsidP="0013573B">
            <w:pPr>
              <w:pStyle w:val="BodyText"/>
              <w:rPr>
                <w:b/>
              </w:rPr>
            </w:pPr>
            <w:r>
              <w:rPr>
                <w:b/>
              </w:rPr>
              <w:t>Capital Gains Tax relief.</w:t>
            </w:r>
            <w:r w:rsidR="006D150E">
              <w:rPr>
                <w:b/>
              </w:rPr>
              <w:t xml:space="preserve"> </w:t>
            </w:r>
            <w:r w:rsidR="006D150E">
              <w:t xml:space="preserve">CGT incurred from the disposal of assets (e.g. sale of a house) can be </w:t>
            </w:r>
            <w:r w:rsidR="0053699E">
              <w:t xml:space="preserve">partially written-off if part or </w:t>
            </w:r>
            <w:proofErr w:type="gramStart"/>
            <w:r w:rsidR="0053699E">
              <w:t>all of</w:t>
            </w:r>
            <w:proofErr w:type="gramEnd"/>
            <w:r w:rsidR="0053699E">
              <w:t xml:space="preserve"> the proceeds are invested in the EIS fund.</w:t>
            </w:r>
          </w:p>
        </w:tc>
        <w:tc>
          <w:tcPr>
            <w:tcW w:w="3286" w:type="dxa"/>
          </w:tcPr>
          <w:p w14:paraId="7DEA3FCF" w14:textId="77777777" w:rsidR="00B01F57" w:rsidRDefault="00B01F57" w:rsidP="0013573B">
            <w:pPr>
              <w:pStyle w:val="BodyText"/>
            </w:pPr>
          </w:p>
        </w:tc>
        <w:tc>
          <w:tcPr>
            <w:tcW w:w="3287" w:type="dxa"/>
          </w:tcPr>
          <w:p w14:paraId="1E9EEAA7" w14:textId="77777777" w:rsidR="00B01F57" w:rsidRDefault="00B01F57" w:rsidP="0013573B">
            <w:pPr>
              <w:pStyle w:val="BodyText"/>
            </w:pPr>
          </w:p>
        </w:tc>
      </w:tr>
      <w:tr w:rsidR="00B01F57" w14:paraId="08C36EED" w14:textId="77777777" w:rsidTr="00BC0F9E">
        <w:tc>
          <w:tcPr>
            <w:tcW w:w="3286" w:type="dxa"/>
          </w:tcPr>
          <w:p w14:paraId="06495957" w14:textId="15D624A0" w:rsidR="00B01F57" w:rsidRPr="0053699E" w:rsidRDefault="00BC0F9E" w:rsidP="0013573B">
            <w:pPr>
              <w:pStyle w:val="BodyText"/>
            </w:pPr>
            <w:r>
              <w:rPr>
                <w:b/>
              </w:rPr>
              <w:t xml:space="preserve">Extended carry-back of </w:t>
            </w:r>
            <w:r w:rsidR="0053699E">
              <w:rPr>
                <w:b/>
              </w:rPr>
              <w:t>income tax relief</w:t>
            </w:r>
            <w:r w:rsidR="006D150E">
              <w:rPr>
                <w:b/>
              </w:rPr>
              <w:t>.</w:t>
            </w:r>
            <w:r w:rsidR="0053699E">
              <w:rPr>
                <w:b/>
              </w:rPr>
              <w:t xml:space="preserve"> </w:t>
            </w:r>
            <w:r w:rsidR="0053699E">
              <w:t>Investors can claim 30% relief on income tax in any nominated year within a defined period, say three or five years, prior to the fund’s investment in an EIS company.</w:t>
            </w:r>
          </w:p>
        </w:tc>
        <w:tc>
          <w:tcPr>
            <w:tcW w:w="3286" w:type="dxa"/>
          </w:tcPr>
          <w:p w14:paraId="46F50D96" w14:textId="77777777" w:rsidR="00B01F57" w:rsidRDefault="00B01F57" w:rsidP="0013573B">
            <w:pPr>
              <w:pStyle w:val="BodyText"/>
            </w:pPr>
          </w:p>
        </w:tc>
        <w:tc>
          <w:tcPr>
            <w:tcW w:w="3287" w:type="dxa"/>
          </w:tcPr>
          <w:p w14:paraId="4217090F" w14:textId="77777777" w:rsidR="00B01F57" w:rsidRDefault="00B01F57" w:rsidP="0013573B">
            <w:pPr>
              <w:pStyle w:val="BodyText"/>
            </w:pPr>
          </w:p>
        </w:tc>
      </w:tr>
      <w:tr w:rsidR="00B01F57" w14:paraId="007ED308" w14:textId="77777777" w:rsidTr="00BC0F9E">
        <w:tc>
          <w:tcPr>
            <w:tcW w:w="3286" w:type="dxa"/>
          </w:tcPr>
          <w:p w14:paraId="4C8331D8" w14:textId="3B7A231C" w:rsidR="00B01F57" w:rsidRPr="00BC0F9E" w:rsidRDefault="00BC0F9E" w:rsidP="0013573B">
            <w:pPr>
              <w:pStyle w:val="BodyText"/>
              <w:rPr>
                <w:b/>
              </w:rPr>
            </w:pPr>
            <w:r>
              <w:rPr>
                <w:b/>
              </w:rPr>
              <w:lastRenderedPageBreak/>
              <w:t xml:space="preserve">Up-front tax relief. </w:t>
            </w:r>
            <w:r w:rsidRPr="00BC0F9E">
              <w:t>30% income tax relief</w:t>
            </w:r>
            <w:r>
              <w:rPr>
                <w:b/>
              </w:rPr>
              <w:t xml:space="preserve"> </w:t>
            </w:r>
            <w:r w:rsidRPr="00BC0F9E">
              <w:t>could be claimed in the year of investing in the fund or the previous year</w:t>
            </w:r>
            <w:r>
              <w:t>. This would be dependent on the fund investing the capital in a company within two years and shares held for three years.</w:t>
            </w:r>
          </w:p>
        </w:tc>
        <w:tc>
          <w:tcPr>
            <w:tcW w:w="3286" w:type="dxa"/>
          </w:tcPr>
          <w:p w14:paraId="601C0AB3" w14:textId="77777777" w:rsidR="00B01F57" w:rsidRDefault="00B01F57" w:rsidP="0013573B">
            <w:pPr>
              <w:pStyle w:val="BodyText"/>
            </w:pPr>
          </w:p>
        </w:tc>
        <w:tc>
          <w:tcPr>
            <w:tcW w:w="3287" w:type="dxa"/>
          </w:tcPr>
          <w:p w14:paraId="2ED37010" w14:textId="77777777" w:rsidR="00B01F57" w:rsidRDefault="00B01F57" w:rsidP="0013573B">
            <w:pPr>
              <w:pStyle w:val="BodyText"/>
            </w:pPr>
          </w:p>
        </w:tc>
      </w:tr>
    </w:tbl>
    <w:p w14:paraId="633B94D4" w14:textId="1A017098" w:rsidR="00184BF0" w:rsidRDefault="00B01F57" w:rsidP="0013573B">
      <w:pPr>
        <w:pStyle w:val="BodyText"/>
      </w:pPr>
      <w:r>
        <w:t xml:space="preserve"> </w:t>
      </w:r>
    </w:p>
    <w:p w14:paraId="4392223D" w14:textId="4D7805FC" w:rsidR="006D150E" w:rsidRDefault="006D150E" w:rsidP="00FD70FF">
      <w:pPr>
        <w:pStyle w:val="BodyText"/>
        <w:ind w:right="220"/>
        <w:rPr>
          <w:b/>
          <w:color w:val="000000" w:themeColor="text1"/>
        </w:rPr>
      </w:pPr>
      <w:r>
        <w:rPr>
          <w:b/>
          <w:color w:val="000000" w:themeColor="text1"/>
        </w:rPr>
        <w:t xml:space="preserve">Question 2: </w:t>
      </w:r>
      <w:r w:rsidR="005879C9">
        <w:rPr>
          <w:b/>
          <w:color w:val="000000" w:themeColor="text1"/>
        </w:rPr>
        <w:t>C</w:t>
      </w:r>
      <w:r>
        <w:rPr>
          <w:b/>
          <w:color w:val="000000" w:themeColor="text1"/>
        </w:rPr>
        <w:t xml:space="preserve">omment on the BIA’s </w:t>
      </w:r>
      <w:r w:rsidR="005879C9">
        <w:rPr>
          <w:b/>
          <w:color w:val="000000" w:themeColor="text1"/>
        </w:rPr>
        <w:t xml:space="preserve">additional </w:t>
      </w:r>
      <w:r>
        <w:rPr>
          <w:b/>
          <w:color w:val="000000" w:themeColor="text1"/>
        </w:rPr>
        <w:t>proposals</w:t>
      </w:r>
    </w:p>
    <w:p w14:paraId="03545A4E" w14:textId="44A41480" w:rsidR="006D150E" w:rsidRPr="006D150E" w:rsidRDefault="006D150E" w:rsidP="00FD70FF">
      <w:pPr>
        <w:pStyle w:val="BodyText"/>
        <w:ind w:right="220"/>
        <w:rPr>
          <w:color w:val="000000" w:themeColor="text1"/>
        </w:rPr>
      </w:pPr>
      <w:r>
        <w:rPr>
          <w:color w:val="000000" w:themeColor="text1"/>
        </w:rPr>
        <w:t xml:space="preserve">The </w:t>
      </w:r>
      <w:r w:rsidR="005879C9">
        <w:rPr>
          <w:color w:val="000000" w:themeColor="text1"/>
        </w:rPr>
        <w:t xml:space="preserve">BIA has not yet taken a view on any of the incentives proposed by the government. However, the </w:t>
      </w:r>
      <w:r>
        <w:rPr>
          <w:color w:val="000000" w:themeColor="text1"/>
        </w:rPr>
        <w:t xml:space="preserve">following are </w:t>
      </w:r>
      <w:r w:rsidR="005879C9">
        <w:rPr>
          <w:color w:val="000000" w:themeColor="text1"/>
        </w:rPr>
        <w:t xml:space="preserve">additional </w:t>
      </w:r>
      <w:r>
        <w:rPr>
          <w:color w:val="000000" w:themeColor="text1"/>
        </w:rPr>
        <w:t xml:space="preserve">incentives and features that the BIA </w:t>
      </w:r>
      <w:r w:rsidR="005879C9">
        <w:rPr>
          <w:color w:val="000000" w:themeColor="text1"/>
        </w:rPr>
        <w:t>has developed and could put forward</w:t>
      </w:r>
      <w:r>
        <w:rPr>
          <w:color w:val="000000" w:themeColor="text1"/>
        </w:rPr>
        <w:t xml:space="preserve"> in the consultation</w:t>
      </w:r>
      <w:r w:rsidR="005879C9">
        <w:rPr>
          <w:color w:val="000000" w:themeColor="text1"/>
        </w:rPr>
        <w:t xml:space="preserve"> as well as commenting on the government’s own proposals</w:t>
      </w:r>
      <w:r>
        <w:rPr>
          <w:color w:val="000000" w:themeColor="text1"/>
        </w:rPr>
        <w:t>.</w:t>
      </w:r>
      <w:r w:rsidR="005879C9">
        <w:rPr>
          <w:color w:val="000000" w:themeColor="text1"/>
        </w:rPr>
        <w:t xml:space="preserve"> We are keen to have your views on these also.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82"/>
        <w:gridCol w:w="3284"/>
      </w:tblGrid>
      <w:tr w:rsidR="005879C9" w:rsidRPr="00B01F57" w14:paraId="78A2B2A7" w14:textId="77777777" w:rsidTr="005879C9">
        <w:tc>
          <w:tcPr>
            <w:tcW w:w="3283" w:type="dxa"/>
          </w:tcPr>
          <w:p w14:paraId="24F10F67" w14:textId="77777777" w:rsidR="005879C9" w:rsidRPr="00B01F57" w:rsidRDefault="005879C9" w:rsidP="005879C9">
            <w:pPr>
              <w:pStyle w:val="BodyText"/>
              <w:rPr>
                <w:b/>
              </w:rPr>
            </w:pPr>
            <w:r>
              <w:rPr>
                <w:b/>
              </w:rPr>
              <w:t xml:space="preserve">Investment incentive </w:t>
            </w:r>
          </w:p>
        </w:tc>
        <w:tc>
          <w:tcPr>
            <w:tcW w:w="3282" w:type="dxa"/>
          </w:tcPr>
          <w:p w14:paraId="4EE8B151" w14:textId="31F81C72" w:rsidR="005879C9" w:rsidRPr="00B01F57" w:rsidRDefault="005879C9" w:rsidP="005879C9">
            <w:pPr>
              <w:pStyle w:val="BodyText"/>
              <w:rPr>
                <w:b/>
              </w:rPr>
            </w:pPr>
            <w:r w:rsidRPr="00B01F57">
              <w:rPr>
                <w:b/>
              </w:rPr>
              <w:t xml:space="preserve">Impact on </w:t>
            </w:r>
            <w:r>
              <w:rPr>
                <w:b/>
              </w:rPr>
              <w:t xml:space="preserve">raising an EIS-like fund? </w:t>
            </w:r>
            <w:r w:rsidRPr="005879C9">
              <w:t>Please provide comments.</w:t>
            </w:r>
          </w:p>
        </w:tc>
        <w:tc>
          <w:tcPr>
            <w:tcW w:w="3284" w:type="dxa"/>
          </w:tcPr>
          <w:p w14:paraId="2FCB423D" w14:textId="77777777" w:rsidR="005879C9" w:rsidRDefault="005879C9" w:rsidP="005879C9">
            <w:pPr>
              <w:pStyle w:val="BodyText"/>
              <w:rPr>
                <w:b/>
              </w:rPr>
            </w:pPr>
            <w:r w:rsidRPr="00B01F57">
              <w:rPr>
                <w:b/>
              </w:rPr>
              <w:t>Impact on capital allocation to bioscience companies</w:t>
            </w:r>
            <w:r>
              <w:rPr>
                <w:b/>
              </w:rPr>
              <w:t>?</w:t>
            </w:r>
            <w:r w:rsidRPr="00B01F57">
              <w:rPr>
                <w:b/>
              </w:rPr>
              <w:t xml:space="preserve"> </w:t>
            </w:r>
          </w:p>
          <w:p w14:paraId="4FE75488" w14:textId="23B8F24F" w:rsidR="005879C9" w:rsidRPr="00B01F57" w:rsidRDefault="005879C9" w:rsidP="005879C9">
            <w:pPr>
              <w:pStyle w:val="BodyText"/>
              <w:rPr>
                <w:b/>
              </w:rPr>
            </w:pPr>
            <w:r w:rsidRPr="005879C9">
              <w:t>Please provide comments.</w:t>
            </w:r>
          </w:p>
        </w:tc>
      </w:tr>
      <w:tr w:rsidR="006D150E" w14:paraId="0A8447ED" w14:textId="77777777" w:rsidTr="005879C9">
        <w:tc>
          <w:tcPr>
            <w:tcW w:w="3283" w:type="dxa"/>
          </w:tcPr>
          <w:p w14:paraId="14ACBB4A" w14:textId="7DBC8422" w:rsidR="006D150E" w:rsidRPr="00B01F57" w:rsidRDefault="005879C9" w:rsidP="00D17C9A">
            <w:pPr>
              <w:pStyle w:val="BodyText"/>
            </w:pPr>
            <w:r>
              <w:rPr>
                <w:b/>
              </w:rPr>
              <w:t>“</w:t>
            </w:r>
            <w:r w:rsidR="00DF0BEB">
              <w:rPr>
                <w:b/>
              </w:rPr>
              <w:t>Investment t</w:t>
            </w:r>
            <w:r>
              <w:rPr>
                <w:b/>
              </w:rPr>
              <w:t xml:space="preserve">op-up </w:t>
            </w:r>
            <w:r w:rsidR="00DF0BEB">
              <w:rPr>
                <w:b/>
              </w:rPr>
              <w:t>bonus</w:t>
            </w:r>
            <w:r>
              <w:rPr>
                <w:b/>
              </w:rPr>
              <w:t xml:space="preserve">”. </w:t>
            </w:r>
            <w:r>
              <w:t>UK tax payers would have their investment automatically increased by 30%</w:t>
            </w:r>
            <w:r w:rsidR="00DF0BEB">
              <w:t xml:space="preserve"> (equivalent to income tax relief in EIS)</w:t>
            </w:r>
            <w:r>
              <w:t>, paid for by the Exchequer. Precedents in the tax system already exist in the form of Gift Aid and the 25% Lifetime ISA bonus.</w:t>
            </w:r>
          </w:p>
        </w:tc>
        <w:tc>
          <w:tcPr>
            <w:tcW w:w="3282" w:type="dxa"/>
          </w:tcPr>
          <w:p w14:paraId="4199BADB" w14:textId="77777777" w:rsidR="006D150E" w:rsidRDefault="006D150E" w:rsidP="00D17C9A">
            <w:pPr>
              <w:pStyle w:val="BodyText"/>
            </w:pPr>
          </w:p>
        </w:tc>
        <w:tc>
          <w:tcPr>
            <w:tcW w:w="3284" w:type="dxa"/>
          </w:tcPr>
          <w:p w14:paraId="41A24D82" w14:textId="77777777" w:rsidR="006D150E" w:rsidRDefault="006D150E" w:rsidP="00D17C9A">
            <w:pPr>
              <w:pStyle w:val="BodyText"/>
            </w:pPr>
          </w:p>
        </w:tc>
      </w:tr>
      <w:tr w:rsidR="006D150E" w14:paraId="34DBE552" w14:textId="77777777" w:rsidTr="005879C9">
        <w:tc>
          <w:tcPr>
            <w:tcW w:w="3283" w:type="dxa"/>
          </w:tcPr>
          <w:p w14:paraId="0FC7FE75" w14:textId="6B52C0EE" w:rsidR="006D150E" w:rsidRPr="003C0E60" w:rsidRDefault="005879C9" w:rsidP="00D17C9A">
            <w:pPr>
              <w:pStyle w:val="BodyText"/>
              <w:rPr>
                <w:b/>
              </w:rPr>
            </w:pPr>
            <w:r>
              <w:rPr>
                <w:b/>
              </w:rPr>
              <w:t>Up-front cash credit</w:t>
            </w:r>
            <w:r>
              <w:t xml:space="preserve">. Rather than being required to file a tax return to claim 30% income tax relief, investors would receive a cheque from HMRC for 30% of their invested capital. This would reduce bureaucracy for investors, especially </w:t>
            </w:r>
            <w:r w:rsidR="00DF0BEB">
              <w:t>lower-earners</w:t>
            </w:r>
            <w:r>
              <w:t xml:space="preserve"> individuals who do not complete self-assessment tax returns.</w:t>
            </w:r>
          </w:p>
        </w:tc>
        <w:tc>
          <w:tcPr>
            <w:tcW w:w="3282" w:type="dxa"/>
          </w:tcPr>
          <w:p w14:paraId="06797A31" w14:textId="77777777" w:rsidR="006D150E" w:rsidRDefault="006D150E" w:rsidP="00D17C9A">
            <w:pPr>
              <w:pStyle w:val="BodyText"/>
            </w:pPr>
          </w:p>
        </w:tc>
        <w:tc>
          <w:tcPr>
            <w:tcW w:w="3284" w:type="dxa"/>
          </w:tcPr>
          <w:p w14:paraId="7D51594D" w14:textId="77777777" w:rsidR="006D150E" w:rsidRDefault="006D150E" w:rsidP="00D17C9A">
            <w:pPr>
              <w:pStyle w:val="BodyText"/>
            </w:pPr>
          </w:p>
        </w:tc>
      </w:tr>
      <w:tr w:rsidR="0053699E" w14:paraId="50837533" w14:textId="77777777" w:rsidTr="005879C9">
        <w:tc>
          <w:tcPr>
            <w:tcW w:w="3283" w:type="dxa"/>
          </w:tcPr>
          <w:p w14:paraId="64013411" w14:textId="6255123F" w:rsidR="0053699E" w:rsidRPr="0053699E" w:rsidRDefault="0053699E" w:rsidP="00D17C9A">
            <w:pPr>
              <w:pStyle w:val="BodyText"/>
            </w:pPr>
            <w:r>
              <w:rPr>
                <w:b/>
              </w:rPr>
              <w:t xml:space="preserve">CGT relief only. </w:t>
            </w:r>
            <w:r>
              <w:t>No up-front relief is given b</w:t>
            </w:r>
            <w:r w:rsidR="00371229">
              <w:t>ut</w:t>
            </w:r>
            <w:r>
              <w:t xml:space="preserve"> investors pay no CGT </w:t>
            </w:r>
            <w:r w:rsidR="00371229">
              <w:t>when they withdraw their money from the fund. Shares in the EIS fund would have to have been held for a defined period, say five years.</w:t>
            </w:r>
          </w:p>
        </w:tc>
        <w:tc>
          <w:tcPr>
            <w:tcW w:w="3282" w:type="dxa"/>
          </w:tcPr>
          <w:p w14:paraId="1D37649E" w14:textId="77777777" w:rsidR="0053699E" w:rsidRDefault="0053699E" w:rsidP="00D17C9A">
            <w:pPr>
              <w:pStyle w:val="BodyText"/>
            </w:pPr>
          </w:p>
        </w:tc>
        <w:tc>
          <w:tcPr>
            <w:tcW w:w="3284" w:type="dxa"/>
          </w:tcPr>
          <w:p w14:paraId="711BBF36" w14:textId="77777777" w:rsidR="0053699E" w:rsidRDefault="0053699E" w:rsidP="00D17C9A">
            <w:pPr>
              <w:pStyle w:val="BodyText"/>
            </w:pPr>
          </w:p>
        </w:tc>
      </w:tr>
      <w:tr w:rsidR="00371229" w14:paraId="6E64F072" w14:textId="77777777" w:rsidTr="005879C9">
        <w:tc>
          <w:tcPr>
            <w:tcW w:w="3283" w:type="dxa"/>
          </w:tcPr>
          <w:p w14:paraId="09EBA78D" w14:textId="458A926A" w:rsidR="00371229" w:rsidRPr="00371229" w:rsidRDefault="00371229" w:rsidP="00D17C9A">
            <w:pPr>
              <w:pStyle w:val="BodyText"/>
            </w:pPr>
            <w:r>
              <w:rPr>
                <w:b/>
              </w:rPr>
              <w:lastRenderedPageBreak/>
              <w:t xml:space="preserve">Inheritance tax exemption. </w:t>
            </w:r>
            <w:r>
              <w:t xml:space="preserve">Shares in the EIS fund would be IHT-exempt if held for seven years or more. </w:t>
            </w:r>
          </w:p>
        </w:tc>
        <w:tc>
          <w:tcPr>
            <w:tcW w:w="3282" w:type="dxa"/>
          </w:tcPr>
          <w:p w14:paraId="30877C41" w14:textId="77777777" w:rsidR="00371229" w:rsidRDefault="00371229" w:rsidP="00D17C9A">
            <w:pPr>
              <w:pStyle w:val="BodyText"/>
            </w:pPr>
          </w:p>
        </w:tc>
        <w:tc>
          <w:tcPr>
            <w:tcW w:w="3284" w:type="dxa"/>
          </w:tcPr>
          <w:p w14:paraId="58B68DA6" w14:textId="77777777" w:rsidR="00371229" w:rsidRDefault="00371229" w:rsidP="00D17C9A">
            <w:pPr>
              <w:pStyle w:val="BodyText"/>
            </w:pPr>
          </w:p>
        </w:tc>
      </w:tr>
    </w:tbl>
    <w:p w14:paraId="1061DAFA" w14:textId="77777777" w:rsidR="00371229" w:rsidRDefault="00371229" w:rsidP="00FD70FF">
      <w:pPr>
        <w:pStyle w:val="BodyText"/>
        <w:ind w:right="220"/>
        <w:rPr>
          <w:b/>
          <w:color w:val="000000" w:themeColor="text1"/>
        </w:rPr>
      </w:pPr>
    </w:p>
    <w:p w14:paraId="61E49A54" w14:textId="7D6CF5D8" w:rsidR="0040160B" w:rsidRDefault="0040160B" w:rsidP="00FD70FF">
      <w:pPr>
        <w:pStyle w:val="BodyText"/>
        <w:ind w:right="220"/>
        <w:rPr>
          <w:b/>
          <w:color w:val="000000" w:themeColor="text1"/>
        </w:rPr>
      </w:pPr>
      <w:r>
        <w:rPr>
          <w:b/>
          <w:color w:val="000000" w:themeColor="text1"/>
        </w:rPr>
        <w:t xml:space="preserve">Question </w:t>
      </w:r>
      <w:r w:rsidR="006D150E">
        <w:rPr>
          <w:b/>
          <w:color w:val="000000" w:themeColor="text1"/>
        </w:rPr>
        <w:t>3</w:t>
      </w:r>
      <w:r>
        <w:rPr>
          <w:b/>
          <w:color w:val="000000" w:themeColor="text1"/>
        </w:rPr>
        <w:t xml:space="preserve">: </w:t>
      </w:r>
      <w:r w:rsidR="005879C9">
        <w:rPr>
          <w:b/>
          <w:color w:val="000000" w:themeColor="text1"/>
        </w:rPr>
        <w:t>F</w:t>
      </w:r>
      <w:r>
        <w:rPr>
          <w:b/>
          <w:color w:val="000000" w:themeColor="text1"/>
        </w:rPr>
        <w:t>urther features of the fund structure that the BIA could call for</w:t>
      </w:r>
    </w:p>
    <w:p w14:paraId="2182BB0E" w14:textId="4C8D307B" w:rsidR="0013573B" w:rsidRDefault="0040160B" w:rsidP="00FD70FF">
      <w:pPr>
        <w:pStyle w:val="BodyText"/>
        <w:ind w:right="220"/>
        <w:rPr>
          <w:color w:val="000000" w:themeColor="text1"/>
        </w:rPr>
      </w:pPr>
      <w:r>
        <w:rPr>
          <w:color w:val="000000" w:themeColor="text1"/>
        </w:rPr>
        <w:t>The BIA could also propose other features that could be included in the fund. They would have to be similar in approach to those already provided through EIS. Please provide any suggestions in the box below.</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9"/>
      </w:tblGrid>
      <w:tr w:rsidR="0040160B" w14:paraId="3814F54D" w14:textId="77777777" w:rsidTr="003D3B70">
        <w:trPr>
          <w:trHeight w:val="1839"/>
        </w:trPr>
        <w:tc>
          <w:tcPr>
            <w:tcW w:w="9859" w:type="dxa"/>
          </w:tcPr>
          <w:p w14:paraId="5C3EF672" w14:textId="77777777" w:rsidR="0040160B" w:rsidRDefault="0040160B" w:rsidP="00FD70FF">
            <w:pPr>
              <w:pStyle w:val="BodyText"/>
              <w:ind w:right="220"/>
              <w:rPr>
                <w:color w:val="000000" w:themeColor="text1"/>
              </w:rPr>
            </w:pPr>
          </w:p>
          <w:p w14:paraId="5C9F8434" w14:textId="77777777" w:rsidR="00B66AE3" w:rsidRDefault="00B66AE3" w:rsidP="00FD70FF">
            <w:pPr>
              <w:pStyle w:val="BodyText"/>
              <w:ind w:right="220"/>
              <w:rPr>
                <w:color w:val="000000" w:themeColor="text1"/>
              </w:rPr>
            </w:pPr>
          </w:p>
          <w:p w14:paraId="7BCFCE4F" w14:textId="77777777" w:rsidR="00B66AE3" w:rsidRDefault="00B66AE3" w:rsidP="00FD70FF">
            <w:pPr>
              <w:pStyle w:val="BodyText"/>
              <w:ind w:right="220"/>
              <w:rPr>
                <w:color w:val="000000" w:themeColor="text1"/>
              </w:rPr>
            </w:pPr>
          </w:p>
          <w:p w14:paraId="75B9715A" w14:textId="77777777" w:rsidR="00B66AE3" w:rsidRDefault="00B66AE3" w:rsidP="00FD70FF">
            <w:pPr>
              <w:pStyle w:val="BodyText"/>
              <w:ind w:right="220"/>
              <w:rPr>
                <w:color w:val="000000" w:themeColor="text1"/>
              </w:rPr>
            </w:pPr>
          </w:p>
          <w:p w14:paraId="07A79508" w14:textId="77777777" w:rsidR="00B66AE3" w:rsidRDefault="00B66AE3" w:rsidP="00FD70FF">
            <w:pPr>
              <w:pStyle w:val="BodyText"/>
              <w:ind w:right="220"/>
              <w:rPr>
                <w:color w:val="000000" w:themeColor="text1"/>
              </w:rPr>
            </w:pPr>
          </w:p>
          <w:p w14:paraId="6AD2E7D6" w14:textId="663E8600" w:rsidR="00B66AE3" w:rsidRDefault="00B66AE3" w:rsidP="00FD70FF">
            <w:pPr>
              <w:pStyle w:val="BodyText"/>
              <w:ind w:right="220"/>
              <w:rPr>
                <w:color w:val="000000" w:themeColor="text1"/>
              </w:rPr>
            </w:pPr>
          </w:p>
        </w:tc>
      </w:tr>
    </w:tbl>
    <w:p w14:paraId="5F89AB42" w14:textId="77777777" w:rsidR="0040160B" w:rsidRDefault="0040160B" w:rsidP="00FD70FF">
      <w:pPr>
        <w:pStyle w:val="BodyText"/>
        <w:ind w:right="220"/>
        <w:rPr>
          <w:color w:val="000000" w:themeColor="text1"/>
        </w:rPr>
      </w:pPr>
    </w:p>
    <w:p w14:paraId="7B215933" w14:textId="6D1563F9" w:rsidR="0013573B" w:rsidRPr="00DF0BEB" w:rsidRDefault="00DF0BEB" w:rsidP="00DF0BEB">
      <w:pPr>
        <w:pStyle w:val="BodyText"/>
        <w:rPr>
          <w:b/>
        </w:rPr>
      </w:pPr>
      <w:r w:rsidRPr="00DF0BEB">
        <w:rPr>
          <w:b/>
        </w:rPr>
        <w:t xml:space="preserve">If you have any questions about the content of this consultation or would prefer to speak to the BIA in person, please call Martin Turner, Policy and Projects Manager, on 0207 630 2192 or email </w:t>
      </w:r>
      <w:hyperlink r:id="rId11" w:history="1">
        <w:r w:rsidRPr="00DF0BEB">
          <w:rPr>
            <w:rStyle w:val="Hyperlink"/>
            <w:b/>
          </w:rPr>
          <w:t>mturner@bioindustry.org</w:t>
        </w:r>
      </w:hyperlink>
      <w:r w:rsidRPr="00DF0BEB">
        <w:rPr>
          <w:b/>
        </w:rPr>
        <w:t xml:space="preserve">. </w:t>
      </w:r>
      <w:r w:rsidR="0013573B" w:rsidRPr="00DF0BEB">
        <w:rPr>
          <w:b/>
        </w:rPr>
        <w:br w:type="page"/>
      </w:r>
    </w:p>
    <w:p w14:paraId="2F1A0630" w14:textId="42BA2B71" w:rsidR="00184BF0" w:rsidRDefault="00184BF0" w:rsidP="00184BF0">
      <w:pPr>
        <w:pStyle w:val="Heading1"/>
      </w:pPr>
      <w:r>
        <w:lastRenderedPageBreak/>
        <w:t xml:space="preserve">Annex 1 – Knowledge intensive definition </w:t>
      </w:r>
    </w:p>
    <w:p w14:paraId="7AED9968" w14:textId="77777777" w:rsidR="00184BF0" w:rsidRDefault="00184BF0" w:rsidP="00184BF0">
      <w:pPr>
        <w:pStyle w:val="BodyText"/>
      </w:pPr>
      <w:r>
        <w:t xml:space="preserve">A company </w:t>
      </w:r>
      <w:r w:rsidRPr="00184BF0">
        <w:rPr>
          <w:b/>
        </w:rPr>
        <w:t>must meet one</w:t>
      </w:r>
      <w:r>
        <w:t xml:space="preserve"> </w:t>
      </w:r>
      <w:r w:rsidRPr="00184BF0">
        <w:rPr>
          <w:b/>
        </w:rPr>
        <w:t>or both</w:t>
      </w:r>
      <w:r>
        <w:t xml:space="preserve"> of two operating cost conditions:</w:t>
      </w:r>
    </w:p>
    <w:p w14:paraId="1365A1A4" w14:textId="77777777" w:rsidR="00184BF0" w:rsidRPr="00184BF0" w:rsidRDefault="00184BF0" w:rsidP="00184BF0">
      <w:pPr>
        <w:pStyle w:val="BulletBIA"/>
        <w:rPr>
          <w:rFonts w:asciiTheme="minorHAnsi" w:hAnsiTheme="minorHAnsi"/>
        </w:rPr>
      </w:pPr>
      <w:r w:rsidRPr="00184BF0">
        <w:rPr>
          <w:rFonts w:asciiTheme="minorHAnsi" w:hAnsiTheme="minorHAnsi"/>
        </w:rPr>
        <w:t xml:space="preserve">must have spent at least 15% of operating costs on R&amp;D or innovation in one of the three years preceding investment </w:t>
      </w:r>
    </w:p>
    <w:p w14:paraId="06930D12" w14:textId="5FBDE777" w:rsidR="00184BF0" w:rsidRPr="00184BF0" w:rsidRDefault="00184BF0" w:rsidP="00184BF0">
      <w:pPr>
        <w:pStyle w:val="BulletBIA"/>
        <w:rPr>
          <w:rFonts w:asciiTheme="minorHAnsi" w:hAnsiTheme="minorHAnsi"/>
        </w:rPr>
      </w:pPr>
      <w:r w:rsidRPr="00184BF0">
        <w:rPr>
          <w:rFonts w:asciiTheme="minorHAnsi" w:hAnsiTheme="minorHAnsi"/>
        </w:rPr>
        <w:t xml:space="preserve">must have spent at least 10% of operating costs on R&amp;D or innovation in each of the preceding three years. </w:t>
      </w:r>
    </w:p>
    <w:p w14:paraId="6746337C" w14:textId="499C270D" w:rsidR="00184BF0" w:rsidRPr="00184BF0" w:rsidRDefault="00184BF0" w:rsidP="00184BF0">
      <w:pPr>
        <w:pStyle w:val="BodyText"/>
        <w:rPr>
          <w:i/>
        </w:rPr>
      </w:pPr>
      <w:r w:rsidRPr="00184BF0">
        <w:rPr>
          <w:i/>
        </w:rPr>
        <w:t xml:space="preserve">These conditions will </w:t>
      </w:r>
      <w:proofErr w:type="gramStart"/>
      <w:r w:rsidRPr="00184BF0">
        <w:rPr>
          <w:i/>
        </w:rPr>
        <w:t>amended</w:t>
      </w:r>
      <w:proofErr w:type="gramEnd"/>
      <w:r w:rsidRPr="00184BF0">
        <w:rPr>
          <w:i/>
        </w:rPr>
        <w:t xml:space="preserve"> by the Finance (No 2) Bill 2017-19 so that companies under three years of age can meet one or both of the conditions in the three years following the investment.</w:t>
      </w:r>
    </w:p>
    <w:p w14:paraId="628F95F6" w14:textId="77777777" w:rsidR="00184BF0" w:rsidRDefault="00184BF0" w:rsidP="00184BF0">
      <w:pPr>
        <w:pStyle w:val="BodyText"/>
      </w:pPr>
      <w:r>
        <w:t xml:space="preserve">A company </w:t>
      </w:r>
      <w:r w:rsidRPr="00184BF0">
        <w:rPr>
          <w:b/>
        </w:rPr>
        <w:t>must also</w:t>
      </w:r>
      <w:r>
        <w:t xml:space="preserve"> meet either the innovation condition </w:t>
      </w:r>
      <w:r w:rsidRPr="00184BF0">
        <w:rPr>
          <w:b/>
        </w:rPr>
        <w:t>or</w:t>
      </w:r>
      <w:r>
        <w:t xml:space="preserve"> the skilled employees condition. </w:t>
      </w:r>
    </w:p>
    <w:p w14:paraId="107783AF" w14:textId="77777777" w:rsidR="00184BF0" w:rsidRDefault="00184BF0" w:rsidP="00184BF0">
      <w:pPr>
        <w:pStyle w:val="BodyText"/>
      </w:pPr>
      <w:r>
        <w:t xml:space="preserve">To meet the innovation condition the company must be creating or have recently created intellectual property, which will be used in future for its </w:t>
      </w:r>
      <w:proofErr w:type="gramStart"/>
      <w:r>
        <w:t>main business</w:t>
      </w:r>
      <w:proofErr w:type="gramEnd"/>
      <w:r>
        <w:t xml:space="preserve"> activities. This can be proven by: </w:t>
      </w:r>
    </w:p>
    <w:p w14:paraId="4A29A4A6" w14:textId="77777777" w:rsidR="00184BF0" w:rsidRPr="00184BF0" w:rsidRDefault="00184BF0" w:rsidP="00184BF0">
      <w:pPr>
        <w:pStyle w:val="BulletBIA"/>
        <w:rPr>
          <w:rFonts w:asciiTheme="minorHAnsi" w:hAnsiTheme="minorHAnsi"/>
        </w:rPr>
      </w:pPr>
      <w:r w:rsidRPr="00184BF0">
        <w:rPr>
          <w:rFonts w:asciiTheme="minorHAnsi" w:hAnsiTheme="minorHAnsi"/>
        </w:rPr>
        <w:t>producing patents or licenses</w:t>
      </w:r>
    </w:p>
    <w:p w14:paraId="241EED38" w14:textId="3F1CAD1A" w:rsidR="00184BF0" w:rsidRPr="00184BF0" w:rsidRDefault="00184BF0" w:rsidP="00184BF0">
      <w:pPr>
        <w:pStyle w:val="BulletBIA"/>
        <w:rPr>
          <w:rFonts w:asciiTheme="minorHAnsi" w:hAnsiTheme="minorHAnsi"/>
        </w:rPr>
      </w:pPr>
      <w:r w:rsidRPr="00184BF0">
        <w:rPr>
          <w:rFonts w:asciiTheme="minorHAnsi" w:hAnsiTheme="minorHAnsi"/>
        </w:rPr>
        <w:t xml:space="preserve">or have an independent expert (e.g. a university professor in a relevant field) verify it is producing intellectual property </w:t>
      </w:r>
    </w:p>
    <w:p w14:paraId="10172B1D" w14:textId="540377FC" w:rsidR="005B06F4" w:rsidRPr="00610939" w:rsidRDefault="00184BF0" w:rsidP="00184BF0">
      <w:pPr>
        <w:pStyle w:val="BodyText"/>
        <w:sectPr w:rsidR="005B06F4" w:rsidRPr="00610939" w:rsidSect="005B06F4">
          <w:footerReference w:type="default" r:id="rId12"/>
          <w:headerReference w:type="first" r:id="rId13"/>
          <w:footerReference w:type="first" r:id="rId14"/>
          <w:pgSz w:w="11900" w:h="16840" w:code="9"/>
          <w:pgMar w:top="1701" w:right="907" w:bottom="1701" w:left="1134" w:header="737" w:footer="454" w:gutter="0"/>
          <w:cols w:space="708"/>
          <w:titlePg/>
          <w:docGrid w:linePitch="272"/>
        </w:sectPr>
      </w:pPr>
      <w:r>
        <w:t xml:space="preserve">To meet the skilled employees condition, at the time of investment and for the following three years at least 20% of the company’s full-time equivalent (FTE) employees must be skilled employees with a relevant Master’s (or higher) degree carrying out R&amp;D or innovation activities.  </w:t>
      </w:r>
      <w:r w:rsidR="00610939" w:rsidRPr="00610939">
        <w:rPr>
          <w:i/>
          <w:iCs/>
        </w:rPr>
        <w:t xml:space="preserve"> </w:t>
      </w:r>
    </w:p>
    <w:p w14:paraId="63DDC38C" w14:textId="77777777" w:rsidR="00661457" w:rsidRDefault="00661457" w:rsidP="00737A3F">
      <w:pPr>
        <w:pStyle w:val="NoSpacing"/>
      </w:pPr>
    </w:p>
    <w:sectPr w:rsidR="00661457" w:rsidSect="005B06F4">
      <w:headerReference w:type="default" r:id="rId15"/>
      <w:footerReference w:type="default" r:id="rId16"/>
      <w:footerReference w:type="first" r:id="rId17"/>
      <w:pgSz w:w="11900" w:h="16840" w:code="9"/>
      <w:pgMar w:top="1701" w:right="907" w:bottom="1701" w:left="1134" w:header="737"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FB885" w14:textId="77777777" w:rsidR="00CC4FD0" w:rsidRDefault="00CC4FD0">
      <w:r>
        <w:separator/>
      </w:r>
    </w:p>
  </w:endnote>
  <w:endnote w:type="continuationSeparator" w:id="0">
    <w:p w14:paraId="0F6DDC61" w14:textId="77777777" w:rsidR="00CC4FD0" w:rsidRDefault="00CC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ource Sans Pro Regular">
    <w:altName w:val="Arial"/>
    <w:panose1 w:val="020B0503030403020204"/>
    <w:charset w:val="00"/>
    <w:family w:val="auto"/>
    <w:pitch w:val="variable"/>
    <w:sig w:usb0="00000003" w:usb1="00000000" w:usb2="00000000" w:usb3="00000000" w:csb0="00000001" w:csb1="00000000"/>
  </w:font>
  <w:font w:name="Source Sans Pro SemiBold">
    <w:altName w:val="Arial"/>
    <w:panose1 w:val="020B0603030403020204"/>
    <w:charset w:val="00"/>
    <w:family w:val="swiss"/>
    <w:pitch w:val="variable"/>
    <w:sig w:usb0="600002F7" w:usb1="02000001" w:usb2="00000000" w:usb3="00000000" w:csb0="0000019F" w:csb1="00000000"/>
  </w:font>
  <w:font w:name="Source Sans Pro Bold">
    <w:altName w:val="Arial"/>
    <w:panose1 w:val="020B070303040302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2BF4" w14:textId="77777777" w:rsidR="00006345" w:rsidRDefault="008D0F99">
    <w:pPr>
      <w:pStyle w:val="Footer"/>
    </w:pPr>
    <w:r w:rsidRPr="00FD69C3">
      <w:t>Influence, connect, save</w:t>
    </w:r>
    <w:r w:rsidR="00790FFC">
      <w:t xml:space="preserve"> </w:t>
    </w:r>
    <w:r w:rsidR="00790FFC">
      <w:rPr>
        <w:rFonts w:ascii="Arial" w:hAnsi="Arial" w:cs="Arial"/>
      </w:rPr>
      <w:t>|</w:t>
    </w:r>
    <w:r w:rsidR="00790FFC">
      <w:t xml:space="preserve"> </w:t>
    </w:r>
    <w:r w:rsidR="00006345" w:rsidRPr="00006345">
      <w:t>www.bioindustry.org</w:t>
    </w:r>
  </w:p>
  <w:p w14:paraId="5CA01B50" w14:textId="1B47E254" w:rsidR="00B96A6D" w:rsidRPr="00006345" w:rsidRDefault="00790FFC" w:rsidP="00006345">
    <w:pPr>
      <w:pStyle w:val="Footer"/>
    </w:pPr>
    <w:r>
      <w:tab/>
    </w:r>
    <w:r w:rsidR="00B96A6D" w:rsidRPr="00006345">
      <w:fldChar w:fldCharType="begin"/>
    </w:r>
    <w:r w:rsidR="00B96A6D" w:rsidRPr="00006345">
      <w:instrText xml:space="preserve"> PAGE  \* MERGEFORMAT </w:instrText>
    </w:r>
    <w:r w:rsidR="00B96A6D" w:rsidRPr="00006345">
      <w:fldChar w:fldCharType="separate"/>
    </w:r>
    <w:r w:rsidR="005C5D1F">
      <w:rPr>
        <w:noProof/>
      </w:rPr>
      <w:t>2</w:t>
    </w:r>
    <w:r w:rsidR="00B96A6D" w:rsidRPr="0000634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98A05" w14:textId="77777777" w:rsidR="00006345" w:rsidRDefault="008D0F99" w:rsidP="00B96A6D">
    <w:pPr>
      <w:pStyle w:val="Footer"/>
    </w:pPr>
    <w:r w:rsidRPr="0088295B">
      <w:t>Influence, connect, save</w:t>
    </w:r>
    <w:r w:rsidR="00157291">
      <w:t xml:space="preserve"> </w:t>
    </w:r>
    <w:r w:rsidR="00931F5D">
      <w:rPr>
        <w:rFonts w:ascii="Arial" w:hAnsi="Arial" w:cs="Arial"/>
      </w:rPr>
      <w:t xml:space="preserve">| </w:t>
    </w:r>
    <w:r w:rsidR="00006345" w:rsidRPr="00006345">
      <w:t>www.bioindustry.org</w:t>
    </w:r>
  </w:p>
  <w:p w14:paraId="0F10AD33" w14:textId="3C2B0319" w:rsidR="00911F08" w:rsidRPr="00006345" w:rsidRDefault="00931F5D" w:rsidP="00006345">
    <w:pPr>
      <w:pStyle w:val="Footer"/>
      <w:rPr>
        <w:noProof/>
      </w:rPr>
    </w:pPr>
    <w:r>
      <w:tab/>
    </w:r>
    <w:r w:rsidR="00911F08" w:rsidRPr="00006345">
      <w:rPr>
        <w:noProof/>
      </w:rPr>
      <w:fldChar w:fldCharType="begin"/>
    </w:r>
    <w:r w:rsidR="00911F08" w:rsidRPr="00006345">
      <w:rPr>
        <w:noProof/>
      </w:rPr>
      <w:instrText xml:space="preserve"> PAGE   \* MERGEFORMAT </w:instrText>
    </w:r>
    <w:r w:rsidR="00911F08" w:rsidRPr="00006345">
      <w:rPr>
        <w:noProof/>
      </w:rPr>
      <w:fldChar w:fldCharType="separate"/>
    </w:r>
    <w:r w:rsidR="005C5D1F">
      <w:rPr>
        <w:noProof/>
      </w:rPr>
      <w:t>1</w:t>
    </w:r>
    <w:r w:rsidR="00911F08" w:rsidRPr="0000634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Borders>
        <w:bottom w:val="none" w:sz="0" w:space="0" w:color="auto"/>
        <w:insideH w:val="none" w:sz="0" w:space="0" w:color="auto"/>
      </w:tblBorders>
      <w:tblLook w:val="04A0" w:firstRow="1" w:lastRow="0" w:firstColumn="1" w:lastColumn="0" w:noHBand="0" w:noVBand="1"/>
    </w:tblPr>
    <w:tblGrid>
      <w:gridCol w:w="1838"/>
      <w:gridCol w:w="1040"/>
      <w:gridCol w:w="1440"/>
      <w:gridCol w:w="1184"/>
      <w:gridCol w:w="4357"/>
    </w:tblGrid>
    <w:tr w:rsidR="00661457" w:rsidRPr="00661457" w14:paraId="5090FDD7" w14:textId="77777777" w:rsidTr="00401FC4">
      <w:tc>
        <w:tcPr>
          <w:tcW w:w="5504" w:type="dxa"/>
          <w:gridSpan w:val="4"/>
          <w:vAlign w:val="center"/>
        </w:tcPr>
        <w:p w14:paraId="323BBCA4" w14:textId="77777777" w:rsidR="00661457" w:rsidRPr="00737A3F" w:rsidRDefault="00661457" w:rsidP="00737A3F">
          <w:pPr>
            <w:pStyle w:val="BackMatterEmail"/>
          </w:pPr>
          <w:r w:rsidRPr="00737A3F">
            <w:t>www.bioindustry.org</w:t>
          </w:r>
        </w:p>
      </w:tc>
      <w:tc>
        <w:tcPr>
          <w:tcW w:w="4360" w:type="dxa"/>
          <w:vMerge w:val="restart"/>
          <w:vAlign w:val="center"/>
        </w:tcPr>
        <w:p w14:paraId="38C09E98" w14:textId="77777777" w:rsidR="00661457" w:rsidRPr="00661457" w:rsidRDefault="00661457" w:rsidP="00661457">
          <w:pPr>
            <w:tabs>
              <w:tab w:val="center" w:pos="4320"/>
              <w:tab w:val="right" w:pos="8640"/>
            </w:tabs>
            <w:jc w:val="right"/>
            <w:rPr>
              <w:rFonts w:asciiTheme="minorHAnsi" w:hAnsiTheme="minorHAnsi"/>
              <w:noProof/>
              <w:color w:val="000000"/>
            </w:rPr>
          </w:pPr>
          <w:r w:rsidRPr="00661457">
            <w:rPr>
              <w:rFonts w:asciiTheme="minorHAnsi" w:hAnsiTheme="minorHAnsi"/>
              <w:noProof/>
              <w:color w:val="000000"/>
            </w:rPr>
            <w:drawing>
              <wp:inline distT="0" distB="0" distL="0" distR="0" wp14:anchorId="12052E96" wp14:editId="6BD8E64A">
                <wp:extent cx="1615443" cy="1231395"/>
                <wp:effectExtent l="0" t="0" r="381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A_logo.png"/>
                        <pic:cNvPicPr/>
                      </pic:nvPicPr>
                      <pic:blipFill>
                        <a:blip r:embed="rId1">
                          <a:extLst>
                            <a:ext uri="{28A0092B-C50C-407E-A947-70E740481C1C}">
                              <a14:useLocalDpi xmlns:a14="http://schemas.microsoft.com/office/drawing/2010/main" val="0"/>
                            </a:ext>
                          </a:extLst>
                        </a:blip>
                        <a:stretch>
                          <a:fillRect/>
                        </a:stretch>
                      </pic:blipFill>
                      <pic:spPr>
                        <a:xfrm>
                          <a:off x="0" y="0"/>
                          <a:ext cx="1615443" cy="1231395"/>
                        </a:xfrm>
                        <a:prstGeom prst="rect">
                          <a:avLst/>
                        </a:prstGeom>
                      </pic:spPr>
                    </pic:pic>
                  </a:graphicData>
                </a:graphic>
              </wp:inline>
            </w:drawing>
          </w:r>
        </w:p>
      </w:tc>
    </w:tr>
    <w:tr w:rsidR="00661457" w:rsidRPr="00661457" w14:paraId="5B8B95B6" w14:textId="77777777" w:rsidTr="00401FC4">
      <w:tc>
        <w:tcPr>
          <w:tcW w:w="1839" w:type="dxa"/>
          <w:vAlign w:val="center"/>
        </w:tcPr>
        <w:p w14:paraId="65670C07" w14:textId="77777777" w:rsidR="00661457" w:rsidRPr="00661457" w:rsidRDefault="00661457" w:rsidP="00661457">
          <w:pPr>
            <w:tabs>
              <w:tab w:val="center" w:pos="4320"/>
              <w:tab w:val="right" w:pos="8640"/>
            </w:tabs>
            <w:jc w:val="center"/>
            <w:rPr>
              <w:rFonts w:asciiTheme="minorHAnsi" w:hAnsiTheme="minorHAnsi"/>
              <w:color w:val="000000"/>
            </w:rPr>
          </w:pPr>
          <w:r w:rsidRPr="00661457">
            <w:rPr>
              <w:rFonts w:asciiTheme="minorHAnsi" w:hAnsiTheme="minorHAnsi"/>
              <w:noProof/>
              <w:color w:val="000000"/>
            </w:rPr>
            <w:drawing>
              <wp:inline distT="0" distB="0" distL="0" distR="0" wp14:anchorId="7B078EC1" wp14:editId="6BFC7547">
                <wp:extent cx="1047639" cy="667357"/>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jg.jpg"/>
                        <pic:cNvPicPr/>
                      </pic:nvPicPr>
                      <pic:blipFill>
                        <a:blip r:embed="rId2">
                          <a:extLst>
                            <a:ext uri="{28A0092B-C50C-407E-A947-70E740481C1C}">
                              <a14:useLocalDpi xmlns:a14="http://schemas.microsoft.com/office/drawing/2010/main" val="0"/>
                            </a:ext>
                          </a:extLst>
                        </a:blip>
                        <a:stretch>
                          <a:fillRect/>
                        </a:stretch>
                      </pic:blipFill>
                      <pic:spPr>
                        <a:xfrm>
                          <a:off x="0" y="0"/>
                          <a:ext cx="1094642" cy="697298"/>
                        </a:xfrm>
                        <a:prstGeom prst="rect">
                          <a:avLst/>
                        </a:prstGeom>
                      </pic:spPr>
                    </pic:pic>
                  </a:graphicData>
                </a:graphic>
              </wp:inline>
            </w:drawing>
          </w:r>
        </w:p>
      </w:tc>
      <w:tc>
        <w:tcPr>
          <w:tcW w:w="1041" w:type="dxa"/>
          <w:vAlign w:val="center"/>
        </w:tcPr>
        <w:p w14:paraId="3D454A1A" w14:textId="77777777" w:rsidR="00661457" w:rsidRPr="00661457" w:rsidRDefault="00661457" w:rsidP="00661457">
          <w:pPr>
            <w:tabs>
              <w:tab w:val="center" w:pos="4320"/>
              <w:tab w:val="right" w:pos="8640"/>
            </w:tabs>
            <w:jc w:val="center"/>
            <w:rPr>
              <w:rFonts w:asciiTheme="minorHAnsi" w:hAnsiTheme="minorHAnsi"/>
              <w:color w:val="000000"/>
            </w:rPr>
          </w:pPr>
          <w:r w:rsidRPr="00661457">
            <w:rPr>
              <w:rFonts w:asciiTheme="minorHAnsi" w:hAnsiTheme="minorHAnsi"/>
              <w:noProof/>
              <w:color w:val="000000"/>
            </w:rPr>
            <w:drawing>
              <wp:inline distT="0" distB="0" distL="0" distR="0" wp14:anchorId="4F2C05AD" wp14:editId="66E29271">
                <wp:extent cx="423949" cy="42394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e.jpg"/>
                        <pic:cNvPicPr/>
                      </pic:nvPicPr>
                      <pic:blipFill>
                        <a:blip r:embed="rId3">
                          <a:extLst>
                            <a:ext uri="{28A0092B-C50C-407E-A947-70E740481C1C}">
                              <a14:useLocalDpi xmlns:a14="http://schemas.microsoft.com/office/drawing/2010/main" val="0"/>
                            </a:ext>
                          </a:extLst>
                        </a:blip>
                        <a:stretch>
                          <a:fillRect/>
                        </a:stretch>
                      </pic:blipFill>
                      <pic:spPr>
                        <a:xfrm>
                          <a:off x="0" y="0"/>
                          <a:ext cx="423949" cy="423949"/>
                        </a:xfrm>
                        <a:prstGeom prst="rect">
                          <a:avLst/>
                        </a:prstGeom>
                      </pic:spPr>
                    </pic:pic>
                  </a:graphicData>
                </a:graphic>
              </wp:inline>
            </w:drawing>
          </w:r>
        </w:p>
      </w:tc>
      <w:tc>
        <w:tcPr>
          <w:tcW w:w="1440" w:type="dxa"/>
          <w:vAlign w:val="center"/>
        </w:tcPr>
        <w:p w14:paraId="26388DF4" w14:textId="77777777" w:rsidR="00661457" w:rsidRPr="00661457" w:rsidRDefault="00661457" w:rsidP="00661457">
          <w:pPr>
            <w:tabs>
              <w:tab w:val="center" w:pos="4320"/>
              <w:tab w:val="right" w:pos="8640"/>
            </w:tabs>
            <w:jc w:val="center"/>
            <w:rPr>
              <w:rFonts w:asciiTheme="minorHAnsi" w:hAnsiTheme="minorHAnsi"/>
              <w:color w:val="000000"/>
            </w:rPr>
          </w:pPr>
          <w:r w:rsidRPr="00661457">
            <w:rPr>
              <w:rFonts w:asciiTheme="minorHAnsi" w:hAnsiTheme="minorHAnsi"/>
              <w:noProof/>
              <w:color w:val="000000"/>
            </w:rPr>
            <w:drawing>
              <wp:inline distT="0" distB="0" distL="0" distR="0" wp14:anchorId="1D18D5AA" wp14:editId="5CC9A1B7">
                <wp:extent cx="752302" cy="220287"/>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orizon.jpg"/>
                        <pic:cNvPicPr/>
                      </pic:nvPicPr>
                      <pic:blipFill>
                        <a:blip r:embed="rId4">
                          <a:extLst>
                            <a:ext uri="{28A0092B-C50C-407E-A947-70E740481C1C}">
                              <a14:useLocalDpi xmlns:a14="http://schemas.microsoft.com/office/drawing/2010/main" val="0"/>
                            </a:ext>
                          </a:extLst>
                        </a:blip>
                        <a:stretch>
                          <a:fillRect/>
                        </a:stretch>
                      </pic:blipFill>
                      <pic:spPr>
                        <a:xfrm>
                          <a:off x="0" y="0"/>
                          <a:ext cx="752302" cy="220287"/>
                        </a:xfrm>
                        <a:prstGeom prst="rect">
                          <a:avLst/>
                        </a:prstGeom>
                      </pic:spPr>
                    </pic:pic>
                  </a:graphicData>
                </a:graphic>
              </wp:inline>
            </w:drawing>
          </w:r>
        </w:p>
      </w:tc>
      <w:tc>
        <w:tcPr>
          <w:tcW w:w="1184" w:type="dxa"/>
          <w:vAlign w:val="center"/>
        </w:tcPr>
        <w:p w14:paraId="62AAA08E" w14:textId="77777777" w:rsidR="00661457" w:rsidRPr="00661457" w:rsidRDefault="00661457" w:rsidP="00661457">
          <w:pPr>
            <w:tabs>
              <w:tab w:val="center" w:pos="4320"/>
              <w:tab w:val="right" w:pos="8640"/>
            </w:tabs>
            <w:jc w:val="center"/>
            <w:rPr>
              <w:rFonts w:asciiTheme="minorHAnsi" w:hAnsiTheme="minorHAnsi"/>
              <w:color w:val="000000"/>
            </w:rPr>
          </w:pPr>
          <w:r w:rsidRPr="00661457">
            <w:rPr>
              <w:rFonts w:asciiTheme="minorHAnsi" w:hAnsiTheme="minorHAnsi"/>
              <w:noProof/>
              <w:color w:val="000000"/>
            </w:rPr>
            <w:drawing>
              <wp:inline distT="0" distB="0" distL="0" distR="0" wp14:anchorId="3E4DC3D8" wp14:editId="485F118E">
                <wp:extent cx="752302" cy="203662"/>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wr.jpg"/>
                        <pic:cNvPicPr/>
                      </pic:nvPicPr>
                      <pic:blipFill>
                        <a:blip r:embed="rId5">
                          <a:extLst>
                            <a:ext uri="{28A0092B-C50C-407E-A947-70E740481C1C}">
                              <a14:useLocalDpi xmlns:a14="http://schemas.microsoft.com/office/drawing/2010/main" val="0"/>
                            </a:ext>
                          </a:extLst>
                        </a:blip>
                        <a:stretch>
                          <a:fillRect/>
                        </a:stretch>
                      </pic:blipFill>
                      <pic:spPr>
                        <a:xfrm>
                          <a:off x="0" y="0"/>
                          <a:ext cx="752302" cy="203662"/>
                        </a:xfrm>
                        <a:prstGeom prst="rect">
                          <a:avLst/>
                        </a:prstGeom>
                      </pic:spPr>
                    </pic:pic>
                  </a:graphicData>
                </a:graphic>
              </wp:inline>
            </w:drawing>
          </w:r>
        </w:p>
      </w:tc>
      <w:tc>
        <w:tcPr>
          <w:tcW w:w="4360" w:type="dxa"/>
          <w:vMerge/>
          <w:vAlign w:val="center"/>
        </w:tcPr>
        <w:p w14:paraId="46DE5C66" w14:textId="77777777" w:rsidR="00661457" w:rsidRPr="00661457" w:rsidRDefault="00661457" w:rsidP="00661457">
          <w:pPr>
            <w:tabs>
              <w:tab w:val="center" w:pos="4320"/>
              <w:tab w:val="right" w:pos="8640"/>
            </w:tabs>
            <w:jc w:val="right"/>
            <w:rPr>
              <w:rFonts w:asciiTheme="minorHAnsi" w:hAnsiTheme="minorHAnsi"/>
              <w:color w:val="000000"/>
            </w:rPr>
          </w:pPr>
        </w:p>
      </w:tc>
    </w:tr>
  </w:tbl>
  <w:p w14:paraId="14FB4D19" w14:textId="77777777" w:rsidR="00661457" w:rsidRPr="00661457" w:rsidRDefault="00661457" w:rsidP="00661457">
    <w:pPr>
      <w:pStyle w:val="NoSpacing"/>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7086" w14:textId="77777777" w:rsidR="00661457" w:rsidRDefault="00661457" w:rsidP="00B96A6D">
    <w:pPr>
      <w:pStyle w:val="Footer"/>
    </w:pPr>
    <w:r w:rsidRPr="0088295B">
      <w:t>Influence, connect, save</w:t>
    </w:r>
    <w:r>
      <w:t xml:space="preserve"> </w:t>
    </w:r>
    <w:r>
      <w:rPr>
        <w:rFonts w:ascii="Arial" w:hAnsi="Arial" w:cs="Arial"/>
      </w:rPr>
      <w:t xml:space="preserve">| </w:t>
    </w:r>
    <w:r w:rsidRPr="00006345">
      <w:t>www.bioindustry.org</w:t>
    </w:r>
  </w:p>
  <w:p w14:paraId="260EA93C" w14:textId="77777777" w:rsidR="00661457" w:rsidRPr="00006345" w:rsidRDefault="00661457" w:rsidP="00006345">
    <w:pPr>
      <w:pStyle w:val="Footer"/>
      <w:rPr>
        <w:noProof/>
      </w:rPr>
    </w:pPr>
    <w:r>
      <w:tab/>
    </w:r>
    <w:r w:rsidRPr="00006345">
      <w:rPr>
        <w:noProof/>
      </w:rPr>
      <w:fldChar w:fldCharType="begin"/>
    </w:r>
    <w:r w:rsidRPr="00006345">
      <w:rPr>
        <w:noProof/>
      </w:rPr>
      <w:instrText xml:space="preserve"> PAGE   \* MERGEFORMAT </w:instrText>
    </w:r>
    <w:r w:rsidRPr="00006345">
      <w:rPr>
        <w:noProof/>
      </w:rPr>
      <w:fldChar w:fldCharType="separate"/>
    </w:r>
    <w:r w:rsidR="005B06F4">
      <w:rPr>
        <w:noProof/>
      </w:rPr>
      <w:t>5</w:t>
    </w:r>
    <w:r w:rsidRPr="000063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41522" w14:textId="77777777" w:rsidR="00CC4FD0" w:rsidRDefault="00CC4FD0">
      <w:r>
        <w:separator/>
      </w:r>
    </w:p>
  </w:footnote>
  <w:footnote w:type="continuationSeparator" w:id="0">
    <w:p w14:paraId="775FEA89" w14:textId="77777777" w:rsidR="00CC4FD0" w:rsidRDefault="00CC4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E936" w14:textId="77777777" w:rsidR="00610939" w:rsidRDefault="00610939" w:rsidP="00CB29A1">
    <w:pPr>
      <w:pStyle w:val="Title"/>
      <w:rPr>
        <w:b/>
      </w:rPr>
    </w:pPr>
  </w:p>
  <w:p w14:paraId="35B73F6D" w14:textId="1423EA05" w:rsidR="00CB29A1" w:rsidRDefault="00184BF0" w:rsidP="00CB29A1">
    <w:pPr>
      <w:pStyle w:val="Title"/>
    </w:pPr>
    <w:r w:rsidRPr="00184BF0">
      <w:rPr>
        <w:b/>
      </w:rPr>
      <w:t>EIS knowledge-intensive fund</w:t>
    </w:r>
    <w:r w:rsidR="00CB29A1">
      <w:br/>
    </w:r>
    <w:r w:rsidR="00FD70FF">
      <w:t>BIA consultation</w:t>
    </w:r>
  </w:p>
  <w:p w14:paraId="52091343" w14:textId="77777777" w:rsidR="00CB29A1" w:rsidRDefault="00CB29A1" w:rsidP="00CB29A1">
    <w:pPr>
      <w:pStyle w:val="Title"/>
    </w:pPr>
  </w:p>
  <w:p w14:paraId="4134C2F0" w14:textId="3D9C1E28" w:rsidR="00B96A6D" w:rsidRDefault="00822961" w:rsidP="00CB29A1">
    <w:pPr>
      <w:pStyle w:val="Subtitle"/>
    </w:pPr>
    <w:r>
      <w:rPr>
        <w:noProof/>
        <w:lang w:eastAsia="en-GB"/>
      </w:rPr>
      <mc:AlternateContent>
        <mc:Choice Requires="wps">
          <w:drawing>
            <wp:anchor distT="0" distB="0" distL="114300" distR="114300" simplePos="0" relativeHeight="251659264" behindDoc="1" locked="1" layoutInCell="1" allowOverlap="1" wp14:anchorId="3B8E0932" wp14:editId="53038A1F">
              <wp:simplePos x="0" y="0"/>
              <wp:positionH relativeFrom="page">
                <wp:posOffset>-28575</wp:posOffset>
              </wp:positionH>
              <wp:positionV relativeFrom="page">
                <wp:posOffset>2153920</wp:posOffset>
              </wp:positionV>
              <wp:extent cx="7598410" cy="0"/>
              <wp:effectExtent l="9525" t="10795" r="12065" b="177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8410" cy="0"/>
                      </a:xfrm>
                      <a:prstGeom prst="line">
                        <a:avLst/>
                      </a:prstGeom>
                      <a:noFill/>
                      <a:ln w="19050">
                        <a:solidFill>
                          <a:srgbClr val="008A8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72AED8"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5pt,169.6pt" to="596.05pt,1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" strokecolor="#008a85" strokeweight="1.5pt">
              <v:shadow opacity="22938f" offset="0"/>
              <w10:wrap anchorx="page" anchory="page"/>
              <w10:anchorlock/>
            </v:line>
          </w:pict>
        </mc:Fallback>
      </mc:AlternateContent>
    </w:r>
    <w:r>
      <w:rPr>
        <w:noProof/>
        <w:lang w:eastAsia="en-GB"/>
      </w:rPr>
      <mc:AlternateContent>
        <mc:Choice Requires="wps">
          <w:drawing>
            <wp:anchor distT="0" distB="0" distL="114300" distR="114300" simplePos="0" relativeHeight="251658240" behindDoc="1" locked="1" layoutInCell="1" allowOverlap="1" wp14:anchorId="49D6A1A0" wp14:editId="4A035336">
              <wp:simplePos x="0" y="0"/>
              <wp:positionH relativeFrom="page">
                <wp:posOffset>0</wp:posOffset>
              </wp:positionH>
              <wp:positionV relativeFrom="page">
                <wp:posOffset>3175</wp:posOffset>
              </wp:positionV>
              <wp:extent cx="4779010" cy="2160270"/>
              <wp:effectExtent l="0" t="0" r="2159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9010" cy="2160270"/>
                      </a:xfrm>
                      <a:prstGeom prst="rect">
                        <a:avLst/>
                      </a:prstGeom>
                      <a:solidFill>
                        <a:schemeClr val="accent3"/>
                      </a:solidFill>
                      <a:ln>
                        <a:solidFill>
                          <a:schemeClr val="accent3"/>
                        </a:solid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3E397" id="Rectangle 1" o:spid="_x0000_s1026" style="position:absolute;margin-left:0;margin-top:.25pt;width:376.3pt;height:170.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" fillcolor="#008a85 [3206]" strokecolor="#008a85 [3206]">
              <v:textbox inset=",7.2pt,,7.2pt"/>
              <w10:wrap anchorx="page" anchory="page"/>
              <w10:anchorlock/>
            </v:rect>
          </w:pict>
        </mc:Fallback>
      </mc:AlternateContent>
    </w:r>
    <w:r>
      <w:rPr>
        <w:noProof/>
      </w:rPr>
      <w:drawing>
        <wp:anchor distT="0" distB="0" distL="114300" distR="114300" simplePos="0" relativeHeight="251657216" behindDoc="0" locked="1" layoutInCell="1" allowOverlap="1" wp14:anchorId="7C9C2185" wp14:editId="0CBEE288">
          <wp:simplePos x="0" y="0"/>
          <wp:positionH relativeFrom="page">
            <wp:posOffset>5355590</wp:posOffset>
          </wp:positionH>
          <wp:positionV relativeFrom="page">
            <wp:posOffset>487045</wp:posOffset>
          </wp:positionV>
          <wp:extent cx="1614805" cy="1230630"/>
          <wp:effectExtent l="0" t="0" r="444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A Logo.pn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1614805"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939">
      <w:t>March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516E2" w14:textId="77777777" w:rsidR="00661457" w:rsidRPr="00661457" w:rsidRDefault="00661457" w:rsidP="00661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308E3B8"/>
    <w:lvl w:ilvl="0">
      <w:start w:val="1"/>
      <w:numFmt w:val="decimal"/>
      <w:lvlText w:val="%1."/>
      <w:lvlJc w:val="left"/>
      <w:pPr>
        <w:tabs>
          <w:tab w:val="num" w:pos="643"/>
        </w:tabs>
        <w:ind w:left="643" w:hanging="360"/>
      </w:pPr>
    </w:lvl>
  </w:abstractNum>
  <w:abstractNum w:abstractNumId="1" w15:restartNumberingAfterBreak="0">
    <w:nsid w:val="04CA628B"/>
    <w:multiLevelType w:val="hybridMultilevel"/>
    <w:tmpl w:val="F32EE0CA"/>
    <w:lvl w:ilvl="0" w:tplc="F59E7154">
      <w:start w:val="1"/>
      <w:numFmt w:val="bullet"/>
      <w:lvlText w:val="•"/>
      <w:lvlJc w:val="left"/>
      <w:pPr>
        <w:ind w:left="360" w:hanging="360"/>
      </w:pPr>
      <w:rPr>
        <w:rFonts w:ascii="Times New Roman" w:hAnsi="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54F9F"/>
    <w:multiLevelType w:val="hybridMultilevel"/>
    <w:tmpl w:val="855C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54068"/>
    <w:multiLevelType w:val="multilevel"/>
    <w:tmpl w:val="C1882448"/>
    <w:styleLink w:val="Listmainbullet"/>
    <w:lvl w:ilvl="0">
      <w:start w:val="1"/>
      <w:numFmt w:val="bullet"/>
      <w:pStyle w:val="BulletBIA"/>
      <w:lvlText w:val=""/>
      <w:lvlJc w:val="left"/>
      <w:pPr>
        <w:tabs>
          <w:tab w:val="num" w:pos="181"/>
        </w:tabs>
        <w:ind w:left="181" w:hanging="181"/>
      </w:pPr>
      <w:rPr>
        <w:rFonts w:ascii="Symbol" w:hAnsi="Symbol" w:hint="default"/>
        <w:color w:val="000000" w:themeColor="text1"/>
        <w:sz w:val="18"/>
      </w:rPr>
    </w:lvl>
    <w:lvl w:ilvl="1">
      <w:start w:val="1"/>
      <w:numFmt w:val="bullet"/>
      <w:pStyle w:val="BIADash"/>
      <w:lvlText w:val="–"/>
      <w:lvlJc w:val="left"/>
      <w:pPr>
        <w:tabs>
          <w:tab w:val="num" w:pos="181"/>
        </w:tabs>
        <w:ind w:left="181" w:hanging="181"/>
      </w:pPr>
      <w:rPr>
        <w:rFonts w:ascii="Times New Roman" w:hAnsi="Times New Roman" w:cs="Times New Roman" w:hint="default"/>
        <w:color w:val="552675"/>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AC2CCE"/>
    <w:multiLevelType w:val="hybridMultilevel"/>
    <w:tmpl w:val="ACF480CC"/>
    <w:lvl w:ilvl="0" w:tplc="78C228B0">
      <w:start w:val="1"/>
      <w:numFmt w:val="bullet"/>
      <w:pStyle w:val="ListParagraph"/>
      <w:lvlText w:val="–"/>
      <w:lvlJc w:val="left"/>
      <w:pPr>
        <w:ind w:left="360" w:hanging="360"/>
      </w:pPr>
      <w:rPr>
        <w:rFonts w:ascii="Verdana" w:hAnsi="Verdana" w:hint="default"/>
        <w:color w:val="552675"/>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D64C3"/>
    <w:multiLevelType w:val="hybridMultilevel"/>
    <w:tmpl w:val="B0A0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E80543"/>
    <w:multiLevelType w:val="multilevel"/>
    <w:tmpl w:val="C1882448"/>
    <w:numStyleLink w:val="Listmainbullet"/>
  </w:abstractNum>
  <w:abstractNum w:abstractNumId="7" w15:restartNumberingAfterBreak="0">
    <w:nsid w:val="5268255E"/>
    <w:multiLevelType w:val="hybridMultilevel"/>
    <w:tmpl w:val="8D62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38279B"/>
    <w:multiLevelType w:val="hybridMultilevel"/>
    <w:tmpl w:val="5728F0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6B7415C"/>
    <w:multiLevelType w:val="multilevel"/>
    <w:tmpl w:val="C1882448"/>
    <w:numStyleLink w:val="Listmainbullet"/>
  </w:abstractNum>
  <w:abstractNum w:abstractNumId="10" w15:restartNumberingAfterBreak="0">
    <w:nsid w:val="6E2A1A0C"/>
    <w:multiLevelType w:val="hybridMultilevel"/>
    <w:tmpl w:val="F760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A03FD5"/>
    <w:multiLevelType w:val="multilevel"/>
    <w:tmpl w:val="2FFC5BF6"/>
    <w:lvl w:ilvl="0">
      <w:start w:val="1"/>
      <w:numFmt w:val="bullet"/>
      <w:lvlText w:val="•"/>
      <w:lvlJc w:val="left"/>
      <w:pPr>
        <w:ind w:left="360" w:hanging="360"/>
      </w:pPr>
      <w:rPr>
        <w:rFonts w:ascii="Times New Roman" w:hAnsi="Times New Roman"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C511465"/>
    <w:multiLevelType w:val="singleLevel"/>
    <w:tmpl w:val="0409000F"/>
    <w:lvl w:ilvl="0">
      <w:start w:val="1"/>
      <w:numFmt w:val="decimal"/>
      <w:lvlText w:val="%1."/>
      <w:lvlJc w:val="left"/>
      <w:pPr>
        <w:tabs>
          <w:tab w:val="num" w:pos="181"/>
        </w:tabs>
        <w:ind w:left="181" w:hanging="181"/>
      </w:pPr>
      <w:rPr>
        <w:rFonts w:hint="default"/>
        <w:color w:val="000000" w:themeColor="text1"/>
        <w:sz w:val="18"/>
      </w:rPr>
    </w:lvl>
  </w:abstractNum>
  <w:abstractNum w:abstractNumId="13" w15:restartNumberingAfterBreak="0">
    <w:nsid w:val="7FFD5244"/>
    <w:multiLevelType w:val="multilevel"/>
    <w:tmpl w:val="C1882448"/>
    <w:numStyleLink w:val="Listmainbullet"/>
  </w:abstractNum>
  <w:num w:numId="1">
    <w:abstractNumId w:val="4"/>
  </w:num>
  <w:num w:numId="2">
    <w:abstractNumId w:val="11"/>
  </w:num>
  <w:num w:numId="3">
    <w:abstractNumId w:val="1"/>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9"/>
  </w:num>
  <w:num w:numId="10">
    <w:abstractNumId w:val="6"/>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20"/>
    <w:rsid w:val="00006345"/>
    <w:rsid w:val="00031477"/>
    <w:rsid w:val="000536CA"/>
    <w:rsid w:val="000A41CB"/>
    <w:rsid w:val="000F0874"/>
    <w:rsid w:val="00122911"/>
    <w:rsid w:val="0013573B"/>
    <w:rsid w:val="00143AC3"/>
    <w:rsid w:val="00157291"/>
    <w:rsid w:val="00184BF0"/>
    <w:rsid w:val="001B0EC3"/>
    <w:rsid w:val="001B31E6"/>
    <w:rsid w:val="001D0837"/>
    <w:rsid w:val="001F3ACB"/>
    <w:rsid w:val="001F429D"/>
    <w:rsid w:val="001F42BF"/>
    <w:rsid w:val="0020550C"/>
    <w:rsid w:val="00214A54"/>
    <w:rsid w:val="0021799A"/>
    <w:rsid w:val="002642BD"/>
    <w:rsid w:val="00265138"/>
    <w:rsid w:val="002C47A7"/>
    <w:rsid w:val="002F36F2"/>
    <w:rsid w:val="00331634"/>
    <w:rsid w:val="003471D0"/>
    <w:rsid w:val="00370BE0"/>
    <w:rsid w:val="00371229"/>
    <w:rsid w:val="00382BEB"/>
    <w:rsid w:val="003A73B4"/>
    <w:rsid w:val="003C0E60"/>
    <w:rsid w:val="003D3B70"/>
    <w:rsid w:val="003F0E83"/>
    <w:rsid w:val="0040160B"/>
    <w:rsid w:val="004270FE"/>
    <w:rsid w:val="00432C4B"/>
    <w:rsid w:val="004369E2"/>
    <w:rsid w:val="00445171"/>
    <w:rsid w:val="00465F28"/>
    <w:rsid w:val="004A0BE7"/>
    <w:rsid w:val="004A2F91"/>
    <w:rsid w:val="00521CB0"/>
    <w:rsid w:val="00525277"/>
    <w:rsid w:val="0053699E"/>
    <w:rsid w:val="00567E6C"/>
    <w:rsid w:val="005879C9"/>
    <w:rsid w:val="00587BA7"/>
    <w:rsid w:val="00594247"/>
    <w:rsid w:val="005B06F4"/>
    <w:rsid w:val="005B606C"/>
    <w:rsid w:val="005C5D1F"/>
    <w:rsid w:val="005D51D1"/>
    <w:rsid w:val="00610939"/>
    <w:rsid w:val="00612C93"/>
    <w:rsid w:val="00650834"/>
    <w:rsid w:val="0066129E"/>
    <w:rsid w:val="00661457"/>
    <w:rsid w:val="006746E3"/>
    <w:rsid w:val="00681959"/>
    <w:rsid w:val="00683927"/>
    <w:rsid w:val="006869DB"/>
    <w:rsid w:val="006A30A3"/>
    <w:rsid w:val="006B3820"/>
    <w:rsid w:val="006C31F2"/>
    <w:rsid w:val="006D150E"/>
    <w:rsid w:val="00737A3F"/>
    <w:rsid w:val="00742C3F"/>
    <w:rsid w:val="00790FFC"/>
    <w:rsid w:val="007A6A5E"/>
    <w:rsid w:val="007F5752"/>
    <w:rsid w:val="00814312"/>
    <w:rsid w:val="00817C7D"/>
    <w:rsid w:val="00822961"/>
    <w:rsid w:val="00857D84"/>
    <w:rsid w:val="00876566"/>
    <w:rsid w:val="0088295B"/>
    <w:rsid w:val="008C0A55"/>
    <w:rsid w:val="008D0F99"/>
    <w:rsid w:val="008D473C"/>
    <w:rsid w:val="008E490F"/>
    <w:rsid w:val="008F3E07"/>
    <w:rsid w:val="008F3E52"/>
    <w:rsid w:val="009067C0"/>
    <w:rsid w:val="00911F08"/>
    <w:rsid w:val="00931F5D"/>
    <w:rsid w:val="009344DB"/>
    <w:rsid w:val="00974080"/>
    <w:rsid w:val="009D505E"/>
    <w:rsid w:val="009F5348"/>
    <w:rsid w:val="00A300C2"/>
    <w:rsid w:val="00A4746D"/>
    <w:rsid w:val="00A616D7"/>
    <w:rsid w:val="00A8720C"/>
    <w:rsid w:val="00AB2848"/>
    <w:rsid w:val="00AC23A5"/>
    <w:rsid w:val="00AD7F36"/>
    <w:rsid w:val="00AF30C2"/>
    <w:rsid w:val="00AF394C"/>
    <w:rsid w:val="00B01F57"/>
    <w:rsid w:val="00B02484"/>
    <w:rsid w:val="00B243F2"/>
    <w:rsid w:val="00B34974"/>
    <w:rsid w:val="00B36DB0"/>
    <w:rsid w:val="00B469CE"/>
    <w:rsid w:val="00B52915"/>
    <w:rsid w:val="00B52C2E"/>
    <w:rsid w:val="00B66AE3"/>
    <w:rsid w:val="00B74DF7"/>
    <w:rsid w:val="00B96A6D"/>
    <w:rsid w:val="00BC0F9E"/>
    <w:rsid w:val="00C65747"/>
    <w:rsid w:val="00C76E38"/>
    <w:rsid w:val="00CB29A1"/>
    <w:rsid w:val="00CC4FD0"/>
    <w:rsid w:val="00CE547A"/>
    <w:rsid w:val="00CF6691"/>
    <w:rsid w:val="00D32EAF"/>
    <w:rsid w:val="00D42A45"/>
    <w:rsid w:val="00D51759"/>
    <w:rsid w:val="00DC1156"/>
    <w:rsid w:val="00DD7F30"/>
    <w:rsid w:val="00DF0BEB"/>
    <w:rsid w:val="00DF2696"/>
    <w:rsid w:val="00E36026"/>
    <w:rsid w:val="00E556F6"/>
    <w:rsid w:val="00E90AA3"/>
    <w:rsid w:val="00EB2406"/>
    <w:rsid w:val="00EB7BA2"/>
    <w:rsid w:val="00EC3A8A"/>
    <w:rsid w:val="00ED1262"/>
    <w:rsid w:val="00ED1BD4"/>
    <w:rsid w:val="00EE07BD"/>
    <w:rsid w:val="00F41E76"/>
    <w:rsid w:val="00F509BB"/>
    <w:rsid w:val="00FD69C3"/>
    <w:rsid w:val="00FD70FF"/>
  </w:rsids>
  <m:mathPr>
    <m:mathFont m:val="Cambria Math"/>
    <m:brkBin m:val="before"/>
    <m:brkBinSub m:val="--"/>
    <m:smallFrac/>
    <m:dispDef/>
    <m:lMargin m:val="0"/>
    <m:rMargin m:val="0"/>
    <m:defJc m:val="centerGroup"/>
    <m:wrapRight/>
    <m:intLim m:val="subSup"/>
    <m:naryLim m:val="subSup"/>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51EB45"/>
  <w15:docId w15:val="{5E09A25C-7929-4215-8A21-2D70504C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th-TH"/>
      </w:rPr>
    </w:rPrDefault>
    <w:pPrDefault/>
  </w:docDefaults>
  <w:latentStyles w:defLockedState="0" w:defUIPriority="0" w:defSemiHidden="0" w:defUnhideWhenUsed="0" w:defQFormat="0" w:count="375">
    <w:lsdException w:name="heading 2"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F3E07"/>
    <w:rPr>
      <w:rFonts w:ascii="Source Sans Pro Regular" w:hAnsi="Source Sans Pro Regular"/>
      <w:szCs w:val="24"/>
      <w:lang w:bidi="ar-SA"/>
    </w:rPr>
  </w:style>
  <w:style w:type="paragraph" w:styleId="Heading1">
    <w:name w:val="heading 1"/>
    <w:aliases w:val="BIA Heading 1"/>
    <w:basedOn w:val="Normal"/>
    <w:next w:val="BodyText"/>
    <w:link w:val="Heading1Char"/>
    <w:uiPriority w:val="1"/>
    <w:qFormat/>
    <w:rsid w:val="001B0EC3"/>
    <w:pPr>
      <w:keepNext/>
      <w:keepLines/>
      <w:spacing w:before="228" w:after="114"/>
      <w:outlineLvl w:val="0"/>
    </w:pPr>
    <w:rPr>
      <w:rFonts w:asciiTheme="majorHAnsi" w:eastAsia="Times New Roman" w:hAnsiTheme="majorHAnsi"/>
      <w:bCs/>
      <w:color w:val="008A85" w:themeColor="accent3"/>
      <w:sz w:val="26"/>
      <w:szCs w:val="32"/>
      <w:lang w:val="en-GB"/>
    </w:rPr>
  </w:style>
  <w:style w:type="paragraph" w:styleId="Heading2">
    <w:name w:val="heading 2"/>
    <w:aliases w:val="BIA Heading 2"/>
    <w:basedOn w:val="Heading1"/>
    <w:next w:val="BodyText"/>
    <w:link w:val="Heading2Char"/>
    <w:uiPriority w:val="1"/>
    <w:qFormat/>
    <w:rsid w:val="00A300C2"/>
    <w:pPr>
      <w:spacing w:before="170"/>
      <w:outlineLvl w:val="1"/>
    </w:pPr>
    <w:rPr>
      <w:rFonts w:ascii="Source Sans Pro Bold" w:hAnsi="Source Sans Pro Bold"/>
      <w:b/>
      <w:color w:val="000000" w:themeColor="text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F11"/>
    <w:tblPr>
      <w:tblBorders>
        <w:bottom w:val="single" w:sz="8" w:space="0" w:color="000000"/>
        <w:insideH w:val="single" w:sz="8" w:space="0" w:color="000000"/>
      </w:tblBorders>
    </w:tblPr>
    <w:tcPr>
      <w:tcMar>
        <w:left w:w="0" w:type="dxa"/>
        <w:right w:w="0" w:type="dxa"/>
      </w:tcMar>
    </w:tcPr>
  </w:style>
  <w:style w:type="paragraph" w:styleId="Title">
    <w:name w:val="Title"/>
    <w:aliases w:val="BIA Title"/>
    <w:basedOn w:val="Normal"/>
    <w:next w:val="Subtitle"/>
    <w:link w:val="TitleChar"/>
    <w:uiPriority w:val="10"/>
    <w:qFormat/>
    <w:rsid w:val="00567E6C"/>
    <w:pPr>
      <w:spacing w:after="170" w:line="420" w:lineRule="atLeast"/>
      <w:contextualSpacing/>
    </w:pPr>
    <w:rPr>
      <w:rFonts w:eastAsia="Times New Roman"/>
      <w:color w:val="FFFFFF"/>
      <w:spacing w:val="-2"/>
      <w:kern w:val="28"/>
      <w:sz w:val="34"/>
      <w:szCs w:val="52"/>
      <w:lang w:val="en-GB"/>
    </w:rPr>
  </w:style>
  <w:style w:type="character" w:customStyle="1" w:styleId="TitleChar">
    <w:name w:val="Title Char"/>
    <w:aliases w:val="BIA Title Char"/>
    <w:link w:val="Title"/>
    <w:uiPriority w:val="10"/>
    <w:rsid w:val="00567E6C"/>
    <w:rPr>
      <w:rFonts w:ascii="Source Sans Pro Regular" w:eastAsia="Times New Roman" w:hAnsi="Source Sans Pro Regular" w:cs="Times New Roman"/>
      <w:color w:val="FFFFFF"/>
      <w:spacing w:val="-2"/>
      <w:kern w:val="28"/>
      <w:sz w:val="34"/>
      <w:szCs w:val="52"/>
      <w:lang w:val="en-GB"/>
    </w:rPr>
  </w:style>
  <w:style w:type="paragraph" w:styleId="Subtitle">
    <w:name w:val="Subtitle"/>
    <w:aliases w:val="BIA Subtitle"/>
    <w:basedOn w:val="Normal"/>
    <w:next w:val="BodyText"/>
    <w:link w:val="SubtitleChar"/>
    <w:uiPriority w:val="11"/>
    <w:qFormat/>
    <w:rsid w:val="00567E6C"/>
    <w:pPr>
      <w:numPr>
        <w:ilvl w:val="1"/>
      </w:numPr>
      <w:spacing w:line="360" w:lineRule="atLeast"/>
    </w:pPr>
    <w:rPr>
      <w:rFonts w:eastAsia="Times New Roman"/>
      <w:iCs/>
      <w:color w:val="FFFFFF"/>
      <w:spacing w:val="-2"/>
      <w:sz w:val="26"/>
      <w:lang w:val="en-GB"/>
    </w:rPr>
  </w:style>
  <w:style w:type="character" w:customStyle="1" w:styleId="SubtitleChar">
    <w:name w:val="Subtitle Char"/>
    <w:aliases w:val="BIA Subtitle Char"/>
    <w:link w:val="Subtitle"/>
    <w:uiPriority w:val="11"/>
    <w:rsid w:val="00567E6C"/>
    <w:rPr>
      <w:rFonts w:ascii="Source Sans Pro Regular" w:eastAsia="Times New Roman" w:hAnsi="Source Sans Pro Regular" w:cs="Times New Roman"/>
      <w:iCs/>
      <w:color w:val="FFFFFF"/>
      <w:spacing w:val="-2"/>
      <w:sz w:val="26"/>
      <w:lang w:val="en-GB"/>
    </w:rPr>
  </w:style>
  <w:style w:type="character" w:customStyle="1" w:styleId="Heading1Char">
    <w:name w:val="Heading 1 Char"/>
    <w:aliases w:val="BIA Heading 1 Char"/>
    <w:link w:val="Heading1"/>
    <w:uiPriority w:val="1"/>
    <w:rsid w:val="001B0EC3"/>
    <w:rPr>
      <w:rFonts w:asciiTheme="majorHAnsi" w:eastAsia="Times New Roman" w:hAnsiTheme="majorHAnsi"/>
      <w:bCs/>
      <w:color w:val="008A85" w:themeColor="accent3"/>
      <w:sz w:val="26"/>
      <w:szCs w:val="32"/>
      <w:lang w:val="en-GB" w:bidi="ar-SA"/>
    </w:rPr>
  </w:style>
  <w:style w:type="paragraph" w:customStyle="1" w:styleId="subheading">
    <w:name w:val="subheading"/>
    <w:basedOn w:val="Heading1"/>
    <w:rsid w:val="003D61BD"/>
    <w:pPr>
      <w:spacing w:line="320" w:lineRule="atLeast"/>
    </w:pPr>
    <w:rPr>
      <w:sz w:val="28"/>
    </w:rPr>
  </w:style>
  <w:style w:type="character" w:customStyle="1" w:styleId="Heading2Char">
    <w:name w:val="Heading 2 Char"/>
    <w:aliases w:val="BIA Heading 2 Char"/>
    <w:link w:val="Heading2"/>
    <w:uiPriority w:val="1"/>
    <w:rsid w:val="00AC23A5"/>
    <w:rPr>
      <w:rFonts w:ascii="Source Sans Pro Bold" w:eastAsia="Times New Roman" w:hAnsi="Source Sans Pro Bold"/>
      <w:b/>
      <w:bCs/>
      <w:color w:val="000000" w:themeColor="text1"/>
      <w:szCs w:val="24"/>
      <w:lang w:val="en-GB" w:bidi="ar-SA"/>
    </w:rPr>
  </w:style>
  <w:style w:type="paragraph" w:styleId="ListParagraph">
    <w:name w:val="List Paragraph"/>
    <w:basedOn w:val="Normal"/>
    <w:rsid w:val="00C62B74"/>
    <w:pPr>
      <w:numPr>
        <w:numId w:val="1"/>
      </w:numPr>
      <w:spacing w:after="57"/>
      <w:ind w:left="180" w:hanging="180"/>
    </w:pPr>
  </w:style>
  <w:style w:type="paragraph" w:customStyle="1" w:styleId="BIADash">
    <w:name w:val="BIA Dash"/>
    <w:basedOn w:val="ListParagraph"/>
    <w:uiPriority w:val="9"/>
    <w:qFormat/>
    <w:rsid w:val="00E556F6"/>
    <w:pPr>
      <w:numPr>
        <w:ilvl w:val="1"/>
        <w:numId w:val="5"/>
      </w:numPr>
      <w:spacing w:after="58" w:line="300" w:lineRule="atLeast"/>
    </w:pPr>
    <w:rPr>
      <w:lang w:val="en-GB"/>
    </w:rPr>
  </w:style>
  <w:style w:type="paragraph" w:styleId="Header">
    <w:name w:val="header"/>
    <w:basedOn w:val="Normal"/>
    <w:link w:val="HeaderChar"/>
    <w:rsid w:val="0054182F"/>
    <w:pPr>
      <w:tabs>
        <w:tab w:val="center" w:pos="4320"/>
        <w:tab w:val="right" w:pos="8640"/>
      </w:tabs>
    </w:pPr>
  </w:style>
  <w:style w:type="character" w:customStyle="1" w:styleId="HeaderChar">
    <w:name w:val="Header Char"/>
    <w:link w:val="Header"/>
    <w:rsid w:val="0054182F"/>
    <w:rPr>
      <w:color w:val="000000"/>
      <w:sz w:val="20"/>
    </w:rPr>
  </w:style>
  <w:style w:type="paragraph" w:styleId="Footer">
    <w:name w:val="footer"/>
    <w:basedOn w:val="Normal"/>
    <w:next w:val="PlainText"/>
    <w:link w:val="FooterChar"/>
    <w:rsid w:val="001B0EC3"/>
    <w:pPr>
      <w:tabs>
        <w:tab w:val="right" w:pos="9842"/>
      </w:tabs>
      <w:spacing w:after="200"/>
    </w:pPr>
    <w:rPr>
      <w:rFonts w:ascii="Source Sans Pro Bold" w:hAnsi="Source Sans Pro Bold"/>
      <w:color w:val="008A85" w:themeColor="accent3"/>
    </w:rPr>
  </w:style>
  <w:style w:type="character" w:customStyle="1" w:styleId="FooterChar">
    <w:name w:val="Footer Char"/>
    <w:link w:val="Footer"/>
    <w:rsid w:val="001B0EC3"/>
    <w:rPr>
      <w:rFonts w:ascii="Source Sans Pro Bold" w:hAnsi="Source Sans Pro Bold"/>
      <w:color w:val="008A85" w:themeColor="accent3"/>
      <w:szCs w:val="24"/>
      <w:lang w:bidi="ar-SA"/>
    </w:rPr>
  </w:style>
  <w:style w:type="character" w:styleId="Hyperlink">
    <w:name w:val="Hyperlink"/>
    <w:rsid w:val="00003233"/>
    <w:rPr>
      <w:color w:val="1F3B82"/>
      <w:u w:val="single"/>
    </w:rPr>
  </w:style>
  <w:style w:type="paragraph" w:customStyle="1" w:styleId="BasicParagraph">
    <w:name w:val="[Basic Paragraph]"/>
    <w:basedOn w:val="Normal"/>
    <w:uiPriority w:val="99"/>
    <w:rsid w:val="00EE614F"/>
    <w:pPr>
      <w:widowControl w:val="0"/>
      <w:autoSpaceDE w:val="0"/>
      <w:autoSpaceDN w:val="0"/>
      <w:adjustRightInd w:val="0"/>
      <w:spacing w:line="288" w:lineRule="auto"/>
      <w:textAlignment w:val="center"/>
    </w:pPr>
    <w:rPr>
      <w:rFonts w:ascii="MinionPro-Regular" w:hAnsi="MinionPro-Regular" w:cs="MinionPro-Regular"/>
      <w:sz w:val="24"/>
      <w:lang w:val="en-GB"/>
    </w:rPr>
  </w:style>
  <w:style w:type="paragraph" w:customStyle="1" w:styleId="BulletBIA">
    <w:name w:val="Bullet BIA"/>
    <w:basedOn w:val="Normal"/>
    <w:uiPriority w:val="9"/>
    <w:qFormat/>
    <w:rsid w:val="00876566"/>
    <w:pPr>
      <w:numPr>
        <w:numId w:val="5"/>
      </w:numPr>
      <w:spacing w:after="57"/>
    </w:pPr>
  </w:style>
  <w:style w:type="character" w:styleId="UnresolvedMention">
    <w:name w:val="Unresolved Mention"/>
    <w:basedOn w:val="DefaultParagraphFont"/>
    <w:uiPriority w:val="99"/>
    <w:semiHidden/>
    <w:unhideWhenUsed/>
    <w:rsid w:val="00911F08"/>
    <w:rPr>
      <w:color w:val="808080"/>
      <w:shd w:val="clear" w:color="auto" w:fill="E6E6E6"/>
    </w:rPr>
  </w:style>
  <w:style w:type="paragraph" w:styleId="BodyText">
    <w:name w:val="Body Text"/>
    <w:aliases w:val="BIA Body Text"/>
    <w:basedOn w:val="Normal"/>
    <w:link w:val="BodyTextChar"/>
    <w:qFormat/>
    <w:rsid w:val="00E556F6"/>
    <w:pPr>
      <w:spacing w:after="114" w:line="300" w:lineRule="atLeast"/>
    </w:pPr>
    <w:rPr>
      <w:rFonts w:asciiTheme="minorHAnsi" w:hAnsiTheme="minorHAnsi"/>
      <w:lang w:val="en-GB"/>
    </w:rPr>
  </w:style>
  <w:style w:type="character" w:customStyle="1" w:styleId="BodyTextChar">
    <w:name w:val="Body Text Char"/>
    <w:aliases w:val="BIA Body Text Char"/>
    <w:basedOn w:val="DefaultParagraphFont"/>
    <w:link w:val="BodyText"/>
    <w:rsid w:val="00E556F6"/>
    <w:rPr>
      <w:rFonts w:asciiTheme="minorHAnsi" w:hAnsiTheme="minorHAnsi"/>
      <w:color w:val="000000"/>
      <w:szCs w:val="24"/>
      <w:lang w:val="en-GB" w:bidi="ar-SA"/>
    </w:rPr>
  </w:style>
  <w:style w:type="numbering" w:customStyle="1" w:styleId="Listmainbullet">
    <w:name w:val="Listmain_bullet"/>
    <w:basedOn w:val="NoList"/>
    <w:uiPriority w:val="99"/>
    <w:rsid w:val="00876566"/>
    <w:pPr>
      <w:numPr>
        <w:numId w:val="5"/>
      </w:numPr>
    </w:pPr>
  </w:style>
  <w:style w:type="paragraph" w:customStyle="1" w:styleId="BIAGraphic">
    <w:name w:val="BIA Graphic"/>
    <w:basedOn w:val="BodyText"/>
    <w:next w:val="BodyText"/>
    <w:uiPriority w:val="9"/>
    <w:qFormat/>
    <w:rsid w:val="00AF394C"/>
    <w:pPr>
      <w:spacing w:before="120" w:after="120" w:line="240" w:lineRule="auto"/>
      <w:jc w:val="center"/>
    </w:pPr>
    <w:rPr>
      <w:noProof/>
    </w:rPr>
  </w:style>
  <w:style w:type="paragraph" w:styleId="Caption">
    <w:name w:val="caption"/>
    <w:basedOn w:val="Normal"/>
    <w:next w:val="Normal"/>
    <w:unhideWhenUsed/>
    <w:rsid w:val="001B0EC3"/>
    <w:pPr>
      <w:keepNext/>
      <w:spacing w:before="200" w:after="200"/>
    </w:pPr>
    <w:rPr>
      <w:rFonts w:asciiTheme="majorHAnsi" w:hAnsiTheme="majorHAnsi"/>
      <w:iCs/>
      <w:color w:val="008A85" w:themeColor="accent3"/>
      <w:sz w:val="26"/>
      <w:szCs w:val="18"/>
    </w:rPr>
  </w:style>
  <w:style w:type="table" w:customStyle="1" w:styleId="BIATableGrid">
    <w:name w:val="BIA Table Grid"/>
    <w:basedOn w:val="TableGrid"/>
    <w:uiPriority w:val="99"/>
    <w:rsid w:val="003471D0"/>
    <w:pPr>
      <w:spacing w:before="40" w:after="40"/>
    </w:pPr>
    <w:rPr>
      <w:rFonts w:asciiTheme="minorHAnsi" w:hAnsiTheme="minorHAnsi"/>
    </w:rPr>
    <w:tblPr/>
    <w:tblStylePr w:type="firstRow">
      <w:pPr>
        <w:wordWrap/>
        <w:spacing w:beforeLines="0" w:before="60" w:beforeAutospacing="0" w:afterLines="0" w:after="60" w:afterAutospacing="0"/>
        <w:jc w:val="center"/>
      </w:pPr>
      <w:rPr>
        <w:b/>
        <w:color w:val="00615D"/>
      </w:rPr>
    </w:tblStylePr>
    <w:tblStylePr w:type="lastRow">
      <w:rPr>
        <w:b/>
      </w:rPr>
    </w:tblStylePr>
    <w:tblStylePr w:type="firstCol">
      <w:rPr>
        <w:b/>
      </w:rPr>
    </w:tblStylePr>
    <w:tblStylePr w:type="lastCol">
      <w:pPr>
        <w:wordWrap/>
        <w:jc w:val="center"/>
      </w:pPr>
      <w:rPr>
        <w:b/>
      </w:rPr>
    </w:tblStylePr>
  </w:style>
  <w:style w:type="character" w:styleId="PageNumber">
    <w:name w:val="page number"/>
    <w:basedOn w:val="DefaultParagraphFont"/>
    <w:rsid w:val="00911F08"/>
    <w:rPr>
      <w:rFonts w:asciiTheme="minorHAnsi" w:hAnsiTheme="minorHAnsi"/>
      <w:color w:val="00615D"/>
      <w:sz w:val="24"/>
      <w:szCs w:val="32"/>
    </w:rPr>
  </w:style>
  <w:style w:type="paragraph" w:styleId="PlainText">
    <w:name w:val="Plain Text"/>
    <w:basedOn w:val="Normal"/>
    <w:link w:val="PlainTextChar"/>
    <w:semiHidden/>
    <w:unhideWhenUsed/>
    <w:rsid w:val="00911F08"/>
    <w:rPr>
      <w:rFonts w:ascii="Consolas" w:hAnsi="Consolas"/>
      <w:sz w:val="21"/>
      <w:szCs w:val="21"/>
    </w:rPr>
  </w:style>
  <w:style w:type="character" w:customStyle="1" w:styleId="PlainTextChar">
    <w:name w:val="Plain Text Char"/>
    <w:basedOn w:val="DefaultParagraphFont"/>
    <w:link w:val="PlainText"/>
    <w:semiHidden/>
    <w:rsid w:val="00911F08"/>
    <w:rPr>
      <w:rFonts w:ascii="Consolas" w:hAnsi="Consolas"/>
      <w:color w:val="000000"/>
      <w:sz w:val="21"/>
      <w:szCs w:val="21"/>
      <w:lang w:bidi="ar-SA"/>
    </w:rPr>
  </w:style>
  <w:style w:type="table" w:customStyle="1" w:styleId="BIAMain">
    <w:name w:val="BIA Main"/>
    <w:basedOn w:val="GridTable4-Accent6"/>
    <w:uiPriority w:val="99"/>
    <w:rsid w:val="001B0EC3"/>
    <w:pPr>
      <w:spacing w:before="20" w:after="20"/>
      <w:jc w:val="center"/>
    </w:pPr>
    <w:tblPr>
      <w:tblBorders>
        <w:top w:val="single" w:sz="4" w:space="0" w:color="006763" w:themeColor="accent3" w:themeShade="BF"/>
        <w:left w:val="single" w:sz="4" w:space="0" w:color="006763" w:themeColor="accent3" w:themeShade="BF"/>
        <w:bottom w:val="single" w:sz="4" w:space="0" w:color="006763" w:themeColor="accent3" w:themeShade="BF"/>
        <w:right w:val="single" w:sz="4" w:space="0" w:color="006763" w:themeColor="accent3" w:themeShade="BF"/>
        <w:insideH w:val="single" w:sz="4" w:space="0" w:color="006763" w:themeColor="accent3" w:themeShade="BF"/>
        <w:insideV w:val="single" w:sz="4" w:space="0" w:color="006763" w:themeColor="accent3" w:themeShade="BF"/>
      </w:tblBorders>
    </w:tblPr>
    <w:tcPr>
      <w:vAlign w:val="center"/>
    </w:tcPr>
    <w:tblStylePr w:type="firstRow">
      <w:pPr>
        <w:wordWrap/>
        <w:spacing w:beforeLines="40" w:before="40" w:beforeAutospacing="0" w:afterLines="40" w:after="40" w:afterAutospacing="0"/>
        <w:jc w:val="center"/>
      </w:pPr>
      <w:rPr>
        <w:b/>
        <w:bCs/>
        <w:color w:val="FFFFFF" w:themeColor="background1"/>
      </w:rPr>
      <w:tblPr/>
      <w:tcPr>
        <w:tcBorders>
          <w:top w:val="single" w:sz="4" w:space="0" w:color="008A85" w:themeColor="accent3"/>
          <w:left w:val="single" w:sz="4" w:space="0" w:color="008A85" w:themeColor="accent3"/>
          <w:bottom w:val="single" w:sz="4" w:space="0" w:color="008A85" w:themeColor="accent3"/>
          <w:right w:val="single" w:sz="4" w:space="0" w:color="008A85" w:themeColor="accent3"/>
          <w:insideH w:val="nil"/>
          <w:insideV w:val="nil"/>
          <w:tl2br w:val="nil"/>
          <w:tr2bl w:val="nil"/>
        </w:tcBorders>
        <w:shd w:val="clear" w:color="auto" w:fill="008A85" w:themeFill="accent3"/>
      </w:tcPr>
    </w:tblStylePr>
    <w:tblStylePr w:type="lastRow">
      <w:rPr>
        <w:b/>
        <w:bCs/>
      </w:rPr>
      <w:tblPr/>
      <w:tcPr>
        <w:tcBorders>
          <w:top w:val="double" w:sz="4" w:space="0" w:color="006763" w:themeColor="accent3" w:themeShade="BF"/>
        </w:tcBorders>
      </w:tcPr>
    </w:tblStylePr>
    <w:tblStylePr w:type="firstCol">
      <w:pPr>
        <w:wordWrap/>
        <w:jc w:val="left"/>
      </w:pPr>
      <w:rPr>
        <w:b w:val="0"/>
        <w:bCs/>
      </w:rPr>
      <w:tblPr/>
      <w:tcPr>
        <w:tcBorders>
          <w:top w:val="single" w:sz="4" w:space="0" w:color="006763" w:themeColor="accent3" w:themeShade="BF"/>
          <w:left w:val="single" w:sz="4" w:space="0" w:color="006763" w:themeColor="accent3" w:themeShade="BF"/>
          <w:bottom w:val="single" w:sz="4" w:space="0" w:color="006763" w:themeColor="accent3" w:themeShade="BF"/>
          <w:right w:val="single" w:sz="4" w:space="0" w:color="006763" w:themeColor="accent3" w:themeShade="BF"/>
          <w:insideH w:val="single" w:sz="4" w:space="0" w:color="006763" w:themeColor="accent3" w:themeShade="BF"/>
          <w:insideV w:val="single" w:sz="4" w:space="0" w:color="006763" w:themeColor="accent3" w:themeShade="BF"/>
          <w:tl2br w:val="nil"/>
          <w:tr2bl w:val="nil"/>
        </w:tcBorders>
      </w:tcPr>
    </w:tblStylePr>
    <w:tblStylePr w:type="lastCol">
      <w:rPr>
        <w:b/>
        <w:bCs/>
      </w:rPr>
    </w:tblStylePr>
    <w:tblStylePr w:type="band1Vert">
      <w:tblPr/>
      <w:tcPr>
        <w:tcBorders>
          <w:top w:val="single" w:sz="4" w:space="0" w:color="006763" w:themeColor="accent3" w:themeShade="BF"/>
          <w:left w:val="single" w:sz="4" w:space="0" w:color="006763" w:themeColor="accent3" w:themeShade="BF"/>
          <w:bottom w:val="single" w:sz="4" w:space="0" w:color="006763" w:themeColor="accent3" w:themeShade="BF"/>
          <w:right w:val="single" w:sz="4" w:space="0" w:color="006763" w:themeColor="accent3" w:themeShade="BF"/>
          <w:insideH w:val="nil"/>
          <w:insideV w:val="nil"/>
          <w:tl2br w:val="nil"/>
          <w:tr2bl w:val="nil"/>
        </w:tcBorders>
        <w:shd w:val="clear" w:color="auto" w:fill="FFFFFF" w:themeFill="background1"/>
      </w:tcPr>
    </w:tblStylePr>
    <w:tblStylePr w:type="band2Vert">
      <w:tblPr/>
      <w:tcPr>
        <w:tcBorders>
          <w:top w:val="single" w:sz="4" w:space="0" w:color="006763" w:themeColor="accent3" w:themeShade="BF"/>
          <w:left w:val="single" w:sz="4" w:space="0" w:color="006763" w:themeColor="accent3" w:themeShade="BF"/>
          <w:bottom w:val="single" w:sz="4" w:space="0" w:color="006763" w:themeColor="accent3" w:themeShade="BF"/>
          <w:right w:val="single" w:sz="4" w:space="0" w:color="006763" w:themeColor="accent3" w:themeShade="BF"/>
          <w:insideH w:val="nil"/>
          <w:insideV w:val="nil"/>
          <w:tl2br w:val="nil"/>
          <w:tr2bl w:val="nil"/>
        </w:tcBorders>
        <w:shd w:val="clear" w:color="auto" w:fill="E7F4F3"/>
      </w:tcPr>
    </w:tblStylePr>
    <w:tblStylePr w:type="band1Horz">
      <w:tblPr/>
      <w:tcPr>
        <w:tcBorders>
          <w:top w:val="single" w:sz="4" w:space="0" w:color="006763" w:themeColor="accent3" w:themeShade="BF"/>
          <w:left w:val="single" w:sz="4" w:space="0" w:color="006763" w:themeColor="accent3" w:themeShade="BF"/>
          <w:bottom w:val="single" w:sz="4" w:space="0" w:color="006763" w:themeColor="accent3" w:themeShade="BF"/>
          <w:right w:val="single" w:sz="4" w:space="0" w:color="006763" w:themeColor="accent3" w:themeShade="BF"/>
          <w:insideH w:val="single" w:sz="4" w:space="0" w:color="006763" w:themeColor="accent3" w:themeShade="BF"/>
          <w:insideV w:val="single" w:sz="4" w:space="0" w:color="006763" w:themeColor="accent3" w:themeShade="BF"/>
          <w:tl2br w:val="nil"/>
          <w:tr2bl w:val="nil"/>
        </w:tcBorders>
        <w:shd w:val="clear" w:color="auto" w:fill="FFFFFF" w:themeFill="background1"/>
      </w:tcPr>
    </w:tblStylePr>
    <w:tblStylePr w:type="band2Horz">
      <w:tblPr/>
      <w:tcPr>
        <w:tcBorders>
          <w:top w:val="single" w:sz="4" w:space="0" w:color="006763" w:themeColor="accent3" w:themeShade="BF"/>
          <w:left w:val="single" w:sz="4" w:space="0" w:color="006763" w:themeColor="accent3" w:themeShade="BF"/>
          <w:bottom w:val="single" w:sz="4" w:space="0" w:color="006763" w:themeColor="accent3" w:themeShade="BF"/>
          <w:right w:val="single" w:sz="4" w:space="0" w:color="006763" w:themeColor="accent3" w:themeShade="BF"/>
          <w:insideH w:val="single" w:sz="4" w:space="0" w:color="006763" w:themeColor="accent3" w:themeShade="BF"/>
          <w:insideV w:val="single" w:sz="4" w:space="0" w:color="006763" w:themeColor="accent3" w:themeShade="BF"/>
          <w:tl2br w:val="nil"/>
          <w:tr2bl w:val="nil"/>
        </w:tcBorders>
        <w:shd w:val="clear" w:color="auto" w:fill="E7F4F3"/>
      </w:tcPr>
    </w:tblStylePr>
    <w:tblStylePr w:type="swCell">
      <w:tblPr/>
      <w:tcPr>
        <w:tcBorders>
          <w:top w:val="nil"/>
          <w:left w:val="single" w:sz="4" w:space="0" w:color="006763" w:themeColor="accent3" w:themeShade="BF"/>
          <w:bottom w:val="single" w:sz="4" w:space="0" w:color="006763" w:themeColor="accent3" w:themeShade="BF"/>
          <w:right w:val="single" w:sz="4" w:space="0" w:color="006763" w:themeColor="accent3" w:themeShade="BF"/>
          <w:insideH w:val="nil"/>
          <w:insideV w:val="nil"/>
          <w:tl2br w:val="nil"/>
          <w:tr2bl w:val="nil"/>
        </w:tcBorders>
      </w:tcPr>
    </w:tblStylePr>
  </w:style>
  <w:style w:type="table" w:styleId="GridTable4-Accent6">
    <w:name w:val="Grid Table 4 Accent 6"/>
    <w:basedOn w:val="TableNormal"/>
    <w:uiPriority w:val="49"/>
    <w:rsid w:val="00B469C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1">
    <w:name w:val="Table Grid1"/>
    <w:basedOn w:val="TableNormal"/>
    <w:next w:val="TableGrid"/>
    <w:uiPriority w:val="59"/>
    <w:rsid w:val="00661457"/>
    <w:tblPr>
      <w:tblBorders>
        <w:bottom w:val="single" w:sz="8" w:space="0" w:color="000000"/>
        <w:insideH w:val="single" w:sz="8" w:space="0" w:color="000000"/>
      </w:tblBorders>
    </w:tblPr>
    <w:tcPr>
      <w:tcMar>
        <w:left w:w="0" w:type="dxa"/>
        <w:right w:w="0" w:type="dxa"/>
      </w:tcMar>
    </w:tcPr>
  </w:style>
  <w:style w:type="paragraph" w:styleId="NoSpacing">
    <w:name w:val="No Spacing"/>
    <w:rsid w:val="00661457"/>
    <w:rPr>
      <w:rFonts w:ascii="Source Sans Pro Regular" w:hAnsi="Source Sans Pro Regular"/>
      <w:sz w:val="2"/>
      <w:szCs w:val="24"/>
      <w:lang w:bidi="ar-SA"/>
    </w:rPr>
  </w:style>
  <w:style w:type="paragraph" w:customStyle="1" w:styleId="Hiddentext">
    <w:name w:val="Hidden text"/>
    <w:basedOn w:val="BodyText"/>
    <w:rsid w:val="00031477"/>
    <w:pPr>
      <w:shd w:val="clear" w:color="auto" w:fill="E2EFD9" w:themeFill="accent6" w:themeFillTint="33"/>
    </w:pPr>
    <w:rPr>
      <w:vanish/>
      <w:color w:val="9E5ECA" w:themeColor="accent1" w:themeTint="99"/>
    </w:rPr>
  </w:style>
  <w:style w:type="paragraph" w:customStyle="1" w:styleId="BackMatterEmail">
    <w:name w:val="Back Matter Email"/>
    <w:basedOn w:val="Normal"/>
    <w:rsid w:val="00737A3F"/>
    <w:pPr>
      <w:spacing w:before="20" w:after="113" w:line="300" w:lineRule="atLeast"/>
    </w:pPr>
    <w:rPr>
      <w:rFonts w:asciiTheme="majorHAnsi" w:hAnsiTheme="majorHAnsi"/>
      <w:noProof/>
      <w:color w:val="008A85"/>
      <w:sz w:val="26"/>
    </w:rPr>
  </w:style>
  <w:style w:type="paragraph" w:styleId="FootnoteText">
    <w:name w:val="footnote text"/>
    <w:basedOn w:val="Normal"/>
    <w:link w:val="FootnoteTextChar"/>
    <w:semiHidden/>
    <w:unhideWhenUsed/>
    <w:rsid w:val="00610939"/>
    <w:rPr>
      <w:szCs w:val="20"/>
    </w:rPr>
  </w:style>
  <w:style w:type="character" w:customStyle="1" w:styleId="FootnoteTextChar">
    <w:name w:val="Footnote Text Char"/>
    <w:basedOn w:val="DefaultParagraphFont"/>
    <w:link w:val="FootnoteText"/>
    <w:semiHidden/>
    <w:rsid w:val="00610939"/>
    <w:rPr>
      <w:rFonts w:ascii="Source Sans Pro Regular" w:hAnsi="Source Sans Pro Regular"/>
      <w:lang w:bidi="ar-SA"/>
    </w:rPr>
  </w:style>
  <w:style w:type="character" w:styleId="FootnoteReference">
    <w:name w:val="footnote reference"/>
    <w:basedOn w:val="DefaultParagraphFont"/>
    <w:semiHidden/>
    <w:unhideWhenUsed/>
    <w:rsid w:val="00610939"/>
    <w:rPr>
      <w:vertAlign w:val="superscript"/>
    </w:rPr>
  </w:style>
  <w:style w:type="character" w:styleId="FollowedHyperlink">
    <w:name w:val="FollowedHyperlink"/>
    <w:basedOn w:val="DefaultParagraphFont"/>
    <w:semiHidden/>
    <w:unhideWhenUsed/>
    <w:rsid w:val="001229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0952">
      <w:bodyDiv w:val="1"/>
      <w:marLeft w:val="0"/>
      <w:marRight w:val="0"/>
      <w:marTop w:val="0"/>
      <w:marBottom w:val="0"/>
      <w:divBdr>
        <w:top w:val="none" w:sz="0" w:space="0" w:color="auto"/>
        <w:left w:val="none" w:sz="0" w:space="0" w:color="auto"/>
        <w:bottom w:val="none" w:sz="0" w:space="0" w:color="auto"/>
        <w:right w:val="none" w:sz="0" w:space="0" w:color="auto"/>
      </w:divBdr>
    </w:div>
    <w:div w:id="453138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financing-growth-in-innovative-firms-enterprise-investment-scheme-knowledge-intensive-fund-consultation"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urner@bioindustry.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turner@bioindustr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uploads/system/uploads/attachment_data/file/689229/PU2158_Financing_growth_in_innovative_firms_web.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IA">
      <a:dk1>
        <a:sysClr val="windowText" lastClr="000000"/>
      </a:dk1>
      <a:lt1>
        <a:sysClr val="window" lastClr="FFFFFF"/>
      </a:lt1>
      <a:dk2>
        <a:srgbClr val="44546A"/>
      </a:dk2>
      <a:lt2>
        <a:srgbClr val="E7E6E6"/>
      </a:lt2>
      <a:accent1>
        <a:srgbClr val="552675"/>
      </a:accent1>
      <a:accent2>
        <a:srgbClr val="1F3B82"/>
      </a:accent2>
      <a:accent3>
        <a:srgbClr val="008A85"/>
      </a:accent3>
      <a:accent4>
        <a:srgbClr val="D21035"/>
      </a:accent4>
      <a:accent5>
        <a:srgbClr val="D46C11"/>
      </a:accent5>
      <a:accent6>
        <a:srgbClr val="70AD47"/>
      </a:accent6>
      <a:hlink>
        <a:srgbClr val="0563C1"/>
      </a:hlink>
      <a:folHlink>
        <a:srgbClr val="954F72"/>
      </a:folHlink>
    </a:clrScheme>
    <a:fontScheme name="BIA">
      <a:majorFont>
        <a:latin typeface="Source Sans Pro Semi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437340B9-658B-481E-BDA8-DFC2962C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George</dc:creator>
  <cp:keywords/>
  <cp:lastModifiedBy>Martin Turner</cp:lastModifiedBy>
  <cp:revision>8</cp:revision>
  <dcterms:created xsi:type="dcterms:W3CDTF">2018-03-22T13:17:00Z</dcterms:created>
  <dcterms:modified xsi:type="dcterms:W3CDTF">2018-03-27T13:55:00Z</dcterms:modified>
</cp:coreProperties>
</file>